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87E027">
      <w:pPr>
        <w:jc w:val="center"/>
        <w:rPr>
          <w:rFonts w:hint="eastAsia" w:ascii="Times New Roman" w:hAnsi="Times New Roman" w:eastAsia="宋体"/>
          <w:b/>
          <w:bCs/>
          <w:sz w:val="15"/>
          <w:szCs w:val="15"/>
          <w:lang w:eastAsia="zh-CN"/>
        </w:rPr>
      </w:pPr>
    </w:p>
    <w:p w14:paraId="2C7B0BDA">
      <w:pPr>
        <w:jc w:val="center"/>
        <w:rPr>
          <w:rFonts w:hint="eastAsia" w:ascii="Times New Roman" w:hAnsi="Times New Roman" w:eastAsia="宋体"/>
          <w:b/>
          <w:bCs/>
          <w:sz w:val="15"/>
          <w:szCs w:val="15"/>
          <w:lang w:eastAsia="zh-CN"/>
        </w:rPr>
      </w:pPr>
    </w:p>
    <w:p w14:paraId="64FAFB28">
      <w:pPr>
        <w:jc w:val="center"/>
        <w:rPr>
          <w:rFonts w:hint="eastAsia" w:ascii="Times New Roman" w:hAnsi="Times New Roman" w:eastAsia="宋体"/>
          <w:b/>
          <w:bCs/>
          <w:sz w:val="32"/>
          <w:szCs w:val="32"/>
          <w:lang w:eastAsia="zh-CN"/>
        </w:rPr>
      </w:pPr>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10"/>
                    <a:srcRect l="25233" t="46404" r="27815" b="46785"/>
                    <a:stretch>
                      <a:fillRect/>
                    </a:stretch>
                  </pic:blipFill>
                  <pic:spPr>
                    <a:xfrm>
                      <a:off x="0" y="0"/>
                      <a:ext cx="3429000" cy="703580"/>
                    </a:xfrm>
                    <a:prstGeom prst="rect">
                      <a:avLst/>
                    </a:prstGeom>
                  </pic:spPr>
                </pic:pic>
              </a:graphicData>
            </a:graphic>
          </wp:inline>
        </w:drawing>
      </w:r>
    </w:p>
    <w:p w14:paraId="77FC536B">
      <w:pPr>
        <w:jc w:val="center"/>
        <w:rPr>
          <w:rFonts w:hint="eastAsia" w:ascii="Times New Roman" w:hAnsi="Times New Roman" w:eastAsia="宋体"/>
          <w:b/>
          <w:bCs/>
          <w:sz w:val="32"/>
          <w:szCs w:val="32"/>
          <w:lang w:eastAsia="zh-CN"/>
        </w:rPr>
      </w:pPr>
      <w:r>
        <w:rPr>
          <w:rFonts w:hint="eastAsia" w:ascii="微软雅黑" w:hAnsi="微软雅黑" w:eastAsia="微软雅黑" w:cs="微软雅黑"/>
          <w:b/>
          <w:bCs/>
          <w:i w:val="0"/>
          <w:iCs w:val="0"/>
          <w:caps w:val="0"/>
          <w:color w:val="385724" w:themeColor="accent6" w:themeShade="80"/>
          <w:spacing w:val="0"/>
          <w:sz w:val="28"/>
          <w:szCs w:val="28"/>
          <w:shd w:val="clear" w:fill="FFFFFF"/>
          <w:lang w:val="en-US" w:eastAsia="zh-CN"/>
        </w:rPr>
        <w:t xml:space="preserve">       </w:t>
      </w:r>
    </w:p>
    <w:p w14:paraId="0976E3A6">
      <w:pPr>
        <w:rPr>
          <w:rFonts w:hint="eastAsia" w:ascii="Times New Roman" w:hAnsi="Times New Roman"/>
          <w:b/>
          <w:bCs/>
          <w:sz w:val="32"/>
          <w:szCs w:val="32"/>
        </w:rPr>
      </w:pPr>
    </w:p>
    <w:p w14:paraId="7882DB9B">
      <w:pPr>
        <w:rPr>
          <w:rFonts w:hint="eastAsia" w:ascii="Times New Roman" w:hAnsi="Times New Roman"/>
          <w:b/>
          <w:bCs/>
          <w:sz w:val="32"/>
          <w:szCs w:val="32"/>
        </w:rPr>
      </w:pPr>
    </w:p>
    <w:p w14:paraId="63C493F5">
      <w:pPr>
        <w:rPr>
          <w:rFonts w:hint="eastAsia" w:ascii="Times New Roman" w:hAnsi="Times New Roman"/>
          <w:b/>
          <w:bCs/>
          <w:sz w:val="32"/>
          <w:szCs w:val="32"/>
        </w:rPr>
      </w:pPr>
    </w:p>
    <w:p w14:paraId="1F27D83F">
      <w:pPr>
        <w:rPr>
          <w:rFonts w:hint="eastAsia" w:ascii="Times New Roman" w:hAnsi="Times New Roman"/>
          <w:b/>
          <w:bCs/>
          <w:sz w:val="32"/>
          <w:szCs w:val="32"/>
        </w:rPr>
      </w:pPr>
    </w:p>
    <w:p w14:paraId="4C1E8025">
      <w:pPr>
        <w:rPr>
          <w:rFonts w:hint="eastAsia" w:ascii="Times New Roman" w:hAnsi="Times New Roman"/>
          <w:b/>
          <w:bCs/>
          <w:sz w:val="32"/>
          <w:szCs w:val="32"/>
        </w:rPr>
      </w:pPr>
    </w:p>
    <w:p w14:paraId="5C7D8771">
      <w:pPr>
        <w:jc w:val="center"/>
        <w:rPr>
          <w:rFonts w:hint="eastAsia" w:ascii="Times New Roman" w:hAnsi="Times New Roman"/>
          <w:b/>
          <w:bCs/>
          <w:sz w:val="32"/>
          <w:szCs w:val="32"/>
        </w:rPr>
      </w:pPr>
      <w:r>
        <w:rPr>
          <w:rFonts w:hint="eastAsia" w:ascii="Times New Roman" w:hAnsi="Times New Roman"/>
          <w:b/>
          <w:bCs/>
          <w:sz w:val="84"/>
          <w:szCs w:val="84"/>
        </w:rPr>
        <w:t>《学前儿童发展心理学》</w:t>
      </w:r>
    </w:p>
    <w:p w14:paraId="4ACB9433">
      <w:pPr>
        <w:jc w:val="center"/>
        <w:rPr>
          <w:rFonts w:hint="eastAsia" w:ascii="Times New Roman" w:hAnsi="Times New Roman"/>
          <w:b/>
          <w:bCs/>
          <w:sz w:val="84"/>
          <w:szCs w:val="84"/>
        </w:rPr>
      </w:pPr>
      <w:r>
        <w:rPr>
          <w:rFonts w:hint="eastAsia" w:ascii="Times New Roman" w:hAnsi="Times New Roman"/>
          <w:b/>
          <w:bCs/>
          <w:sz w:val="52"/>
          <w:szCs w:val="52"/>
        </w:rPr>
        <w:t>（第二版）</w:t>
      </w:r>
    </w:p>
    <w:p w14:paraId="0024D093">
      <w:pPr>
        <w:jc w:val="center"/>
        <w:rPr>
          <w:rFonts w:hint="eastAsia" w:ascii="Times New Roman" w:hAnsi="Times New Roman"/>
          <w:b/>
          <w:bCs/>
          <w:sz w:val="72"/>
          <w:szCs w:val="72"/>
        </w:rPr>
      </w:pPr>
    </w:p>
    <w:p w14:paraId="1E5E2D35">
      <w:pPr>
        <w:jc w:val="center"/>
        <w:rPr>
          <w:rFonts w:hint="eastAsia" w:ascii="Times New Roman" w:hAnsi="Times New Roman"/>
          <w:b/>
          <w:bCs/>
          <w:sz w:val="72"/>
          <w:szCs w:val="72"/>
        </w:rPr>
      </w:pPr>
      <w:r>
        <w:rPr>
          <w:rFonts w:hint="eastAsia" w:ascii="Times New Roman" w:hAnsi="Times New Roman"/>
          <w:b/>
          <w:bCs/>
          <w:sz w:val="72"/>
          <w:szCs w:val="72"/>
        </w:rPr>
        <w:t>教案</w:t>
      </w:r>
    </w:p>
    <w:p w14:paraId="032B382C">
      <w:pPr>
        <w:jc w:val="center"/>
        <w:rPr>
          <w:rFonts w:hint="eastAsia" w:ascii="Times New Roman" w:hAnsi="Times New Roman"/>
          <w:b/>
          <w:bCs/>
          <w:sz w:val="28"/>
          <w:szCs w:val="28"/>
        </w:rPr>
      </w:pPr>
    </w:p>
    <w:p w14:paraId="6B6BC5C0">
      <w:pPr>
        <w:jc w:val="both"/>
        <w:rPr>
          <w:rFonts w:hint="eastAsia" w:ascii="Times New Roman" w:hAnsi="Times New Roman"/>
          <w:b/>
          <w:bCs/>
          <w:sz w:val="28"/>
          <w:szCs w:val="28"/>
        </w:rPr>
      </w:pPr>
    </w:p>
    <w:p w14:paraId="104E55A0">
      <w:pPr>
        <w:jc w:val="both"/>
        <w:rPr>
          <w:rFonts w:hint="eastAsia" w:ascii="Times New Roman" w:hAnsi="Times New Roman"/>
          <w:b/>
          <w:bCs/>
          <w:sz w:val="28"/>
          <w:szCs w:val="28"/>
        </w:rPr>
      </w:pPr>
    </w:p>
    <w:p w14:paraId="075A8FF0">
      <w:pPr>
        <w:jc w:val="center"/>
        <w:rPr>
          <w:rFonts w:hint="eastAsia" w:ascii="Times New Roman" w:hAnsi="Times New Roman"/>
          <w:b/>
          <w:bCs/>
          <w:sz w:val="28"/>
          <w:szCs w:val="28"/>
        </w:rPr>
      </w:pPr>
    </w:p>
    <w:p w14:paraId="10A16A94">
      <w:pPr>
        <w:jc w:val="center"/>
        <w:rPr>
          <w:rFonts w:hint="eastAsia" w:ascii="Times New Roman" w:hAnsi="Times New Roman"/>
          <w:b/>
          <w:bCs/>
          <w:sz w:val="28"/>
          <w:szCs w:val="28"/>
        </w:rPr>
      </w:pPr>
    </w:p>
    <w:p w14:paraId="375DB611">
      <w:pPr>
        <w:jc w:val="center"/>
        <w:rPr>
          <w:rFonts w:hint="eastAsia" w:ascii="Times New Roman" w:hAnsi="Times New Roman"/>
          <w:b/>
          <w:bCs/>
          <w:sz w:val="28"/>
          <w:szCs w:val="28"/>
        </w:rPr>
      </w:pPr>
    </w:p>
    <w:p w14:paraId="2A619DC7">
      <w:pPr>
        <w:jc w:val="both"/>
        <w:rPr>
          <w:rFonts w:hint="eastAsia" w:ascii="Times New Roman" w:hAnsi="Times New Roman"/>
          <w:b/>
          <w:bCs/>
          <w:sz w:val="28"/>
          <w:szCs w:val="28"/>
        </w:rPr>
      </w:pPr>
    </w:p>
    <w:p w14:paraId="1DC9E0E0">
      <w:pPr>
        <w:jc w:val="both"/>
        <w:rPr>
          <w:rFonts w:hint="eastAsia" w:ascii="Times New Roman" w:hAnsi="Times New Roman"/>
          <w:b/>
          <w:bCs/>
          <w:sz w:val="28"/>
          <w:szCs w:val="28"/>
        </w:rPr>
      </w:pPr>
    </w:p>
    <w:p w14:paraId="3FDE9012">
      <w:pPr>
        <w:jc w:val="center"/>
        <w:rPr>
          <w:rFonts w:hint="eastAsia" w:ascii="Times New Roman" w:hAnsi="Times New Roman"/>
          <w:b/>
          <w:bCs/>
          <w:sz w:val="28"/>
          <w:szCs w:val="28"/>
        </w:rPr>
      </w:pPr>
      <w:r>
        <w:rPr>
          <w:sz w:val="28"/>
        </w:rPr>
        <mc:AlternateContent>
          <mc:Choice Requires="wps">
            <w:drawing>
              <wp:anchor distT="0" distB="0" distL="114300" distR="114300" simplePos="0" relativeHeight="251659264" behindDoc="1" locked="0" layoutInCell="1" allowOverlap="1">
                <wp:simplePos x="0" y="0"/>
                <wp:positionH relativeFrom="column">
                  <wp:posOffset>-95885</wp:posOffset>
                </wp:positionH>
                <wp:positionV relativeFrom="paragraph">
                  <wp:posOffset>294005</wp:posOffset>
                </wp:positionV>
                <wp:extent cx="7545070" cy="539750"/>
                <wp:effectExtent l="0" t="0" r="17780" b="12700"/>
                <wp:wrapNone/>
                <wp:docPr id="7" name="矩形 7"/>
                <wp:cNvGraphicFramePr/>
                <a:graphic xmlns:a="http://schemas.openxmlformats.org/drawingml/2006/main">
                  <a:graphicData uri="http://schemas.microsoft.com/office/word/2010/wordprocessingShape">
                    <wps:wsp>
                      <wps:cNvSpPr/>
                      <wps:spPr>
                        <a:xfrm>
                          <a:off x="3915410" y="9996170"/>
                          <a:ext cx="7545070" cy="539750"/>
                        </a:xfrm>
                        <a:prstGeom prst="rect">
                          <a:avLst/>
                        </a:prstGeom>
                        <a:gradFill>
                          <a:gsLst>
                            <a:gs pos="0">
                              <a:schemeClr val="accent1">
                                <a:lumMod val="0"/>
                                <a:lumOff val="100000"/>
                                <a:alpha val="100000"/>
                              </a:schemeClr>
                            </a:gs>
                            <a:gs pos="47000">
                              <a:schemeClr val="bg1">
                                <a:alpha val="0"/>
                              </a:schemeClr>
                            </a:gs>
                          </a:gsLst>
                          <a:path path="circle">
                            <a:fillToRect l="50000" t="50000" r="50000" b="50000"/>
                          </a:path>
                          <a:tileRect/>
                        </a:gra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FD1A29E">
                            <w:pPr>
                              <w:rPr>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5pt;margin-top:23.15pt;height:42.5pt;width:594.1pt;z-index:-251657216;v-text-anchor:middle;mso-width-relative:page;mso-height-relative:page;" fillcolor="#FFFFFF [20]" filled="t" stroked="f" coordsize="21600,21600" o:gfxdata="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AK99SO2gAAAAsBAAAPAAAAAAAAAAEAIAAAACIA&#10;AABkcnMvZG93bnJldi54bWxQSwECFAAUAAAACACHTuJAMAQiLesCAAAHBgAADgAAAAAAAAABACAA&#10;AAApAQAAZHJzL2Uyb0RvYy54bWxQSwUGAAAAAAYABgBZAQAAhgYAAAAA&#10;">
                <v:fill type="gradientRadial" on="t" color2="#FFFFFF [3212]" o:opacity2="0f" focus="100%" focussize="0f,0f" focusposition="32768f,32768f" rotate="t">
                  <o:fill type="gradientRadial" v:ext="backwardCompatible"/>
                </v:fill>
                <v:stroke on="f" weight="1pt" miterlimit="8" joinstyle="miter"/>
                <v:imagedata o:title=""/>
                <o:lock v:ext="edit" aspectratio="f"/>
                <v:textbox>
                  <w:txbxContent>
                    <w:p w14:paraId="1FD1A29E">
                      <w:pPr>
                        <w:rPr>
                          <w14:textFill>
                            <w14:noFill/>
                          </w14:textFill>
                        </w:rPr>
                      </w:pPr>
                    </w:p>
                  </w:txbxContent>
                </v:textbox>
              </v:rect>
            </w:pict>
          </mc:Fallback>
        </mc:AlternateContent>
      </w:r>
    </w:p>
    <w:p w14:paraId="48A38E4A">
      <w:pPr>
        <w:jc w:val="center"/>
        <w:rPr>
          <w:rFonts w:hint="default" w:ascii="Times New Roman" w:hAnsi="Times New Roman" w:eastAsia="宋体"/>
          <w:b/>
          <w:bCs/>
          <w:sz w:val="36"/>
          <w:szCs w:val="36"/>
          <w:lang w:val="en-US" w:eastAsia="zh-CN"/>
        </w:rPr>
      </w:pPr>
      <w:r>
        <w:rPr>
          <w:rFonts w:hint="eastAsia" w:ascii="华文行楷" w:hAnsi="华文行楷" w:eastAsia="华文行楷" w:cs="华文行楷"/>
          <w:b w:val="0"/>
          <w:bCs w:val="0"/>
          <w:color w:val="auto"/>
          <w:sz w:val="36"/>
          <w:szCs w:val="36"/>
          <w:shd w:val="clear" w:fill="FFFFFF" w:themeFill="background1"/>
          <w:lang w:val="en-US" w:eastAsia="zh-CN"/>
        </w:rPr>
        <w:t>北京出版社</w:t>
      </w:r>
    </w:p>
    <w:p w14:paraId="53E3D12D">
      <w:pPr>
        <w:jc w:val="center"/>
        <w:rPr>
          <w:rFonts w:hint="default" w:ascii="Times New Roman" w:hAnsi="Times New Roman" w:eastAsia="宋体"/>
          <w:b/>
          <w:bCs/>
          <w:sz w:val="28"/>
          <w:szCs w:val="28"/>
          <w:lang w:val="en-US" w:eastAsia="zh-CN"/>
        </w:rPr>
        <w:sectPr>
          <w:headerReference r:id="rId4" w:type="first"/>
          <w:headerReference r:id="rId3" w:type="default"/>
          <w:pgSz w:w="11906" w:h="16838"/>
          <w:pgMar w:top="283" w:right="170" w:bottom="283" w:left="170" w:header="0" w:footer="0" w:gutter="0"/>
          <w:pgBorders>
            <w:top w:val="none" w:sz="0" w:space="0"/>
            <w:left w:val="none" w:sz="0" w:space="0"/>
            <w:bottom w:val="none" w:sz="0" w:space="0"/>
            <w:right w:val="none" w:sz="0" w:space="0"/>
          </w:pgBorders>
          <w:cols w:space="425" w:num="1"/>
          <w:titlePg/>
          <w:docGrid w:type="lines" w:linePitch="312" w:charSpace="0"/>
        </w:sectPr>
      </w:pPr>
    </w:p>
    <w:p w14:paraId="0D3B61B4">
      <w:pPr>
        <w:pStyle w:val="2"/>
        <w:bidi w:val="0"/>
        <w:jc w:val="center"/>
        <w:rPr>
          <w:rFonts w:hint="eastAsia" w:ascii="黑体" w:hAnsi="黑体" w:eastAsia="黑体" w:cs="黑体"/>
          <w:b/>
          <w:bCs/>
          <w:color w:val="000000" w:themeColor="text1"/>
          <w:sz w:val="44"/>
          <w:szCs w:val="44"/>
          <w:lang w:eastAsia="zh-CN"/>
          <w14:textFill>
            <w14:solidFill>
              <w14:schemeClr w14:val="tx1"/>
            </w14:solidFill>
          </w14:textFill>
        </w:rPr>
      </w:pPr>
      <w:r>
        <w:rPr>
          <w:rFonts w:hint="eastAsia" w:ascii="黑体" w:hAnsi="黑体" w:eastAsia="黑体" w:cs="黑体"/>
          <w:b/>
          <w:bCs/>
          <w:color w:val="000000" w:themeColor="text1"/>
          <w:sz w:val="44"/>
          <w:szCs w:val="44"/>
          <w:lang w:eastAsia="zh-CN"/>
          <w14:textFill>
            <w14:solidFill>
              <w14:schemeClr w14:val="tx1"/>
            </w14:solidFill>
          </w14:textFill>
        </w:rPr>
        <w:t>课时分配表</w:t>
      </w:r>
    </w:p>
    <w:tbl>
      <w:tblPr>
        <w:tblStyle w:val="10"/>
        <w:tblW w:w="10772" w:type="dxa"/>
        <w:jc w:val="center"/>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Layout w:type="autofit"/>
        <w:tblCellMar>
          <w:top w:w="0" w:type="dxa"/>
          <w:left w:w="108" w:type="dxa"/>
          <w:bottom w:w="0" w:type="dxa"/>
          <w:right w:w="108" w:type="dxa"/>
        </w:tblCellMar>
      </w:tblPr>
      <w:tblGrid>
        <w:gridCol w:w="1242"/>
        <w:gridCol w:w="5562"/>
        <w:gridCol w:w="1832"/>
        <w:gridCol w:w="2136"/>
      </w:tblGrid>
      <w:tr w14:paraId="3F1782DA">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BE8F00" w:themeFill="accent4" w:themeFillShade="BF"/>
            <w:vAlign w:val="center"/>
          </w:tcPr>
          <w:p w14:paraId="6D5352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BE8F00" w:themeFill="accent4" w:themeFillShade="BF"/>
            <w:vAlign w:val="center"/>
          </w:tcPr>
          <w:p w14:paraId="6FCE9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BE8F00" w:themeFill="accent4" w:themeFillShade="BF"/>
            <w:vAlign w:val="center"/>
          </w:tcPr>
          <w:p w14:paraId="67A2D6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BE8F00" w:themeFill="accent4" w:themeFillShade="BF"/>
            <w:vAlign w:val="center"/>
          </w:tcPr>
          <w:p w14:paraId="20438C9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2FCF147">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480343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5C7B62E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学前儿童发展心理学概论</w:t>
            </w:r>
          </w:p>
        </w:tc>
        <w:tc>
          <w:tcPr>
            <w:tcW w:w="1372" w:type="dxa"/>
            <w:tcBorders>
              <w:tl2br w:val="nil"/>
              <w:tr2bl w:val="nil"/>
            </w:tcBorders>
            <w:shd w:val="clear" w:color="auto" w:fill="FFFFFF"/>
            <w:vAlign w:val="center"/>
          </w:tcPr>
          <w:p w14:paraId="45E2D2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3327A5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1590FC4">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D3CD8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4036A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学前儿童心理发展理论</w:t>
            </w:r>
          </w:p>
        </w:tc>
        <w:tc>
          <w:tcPr>
            <w:tcW w:w="1372" w:type="dxa"/>
            <w:tcBorders>
              <w:tl2br w:val="nil"/>
              <w:tr2bl w:val="nil"/>
            </w:tcBorders>
            <w:shd w:val="clear" w:color="auto" w:fill="FFFFFF"/>
            <w:vAlign w:val="center"/>
          </w:tcPr>
          <w:p w14:paraId="56F1DF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C62E8F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22FC667">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19341D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3C17DE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学前儿童生理和运动能力的发展</w:t>
            </w:r>
          </w:p>
        </w:tc>
        <w:tc>
          <w:tcPr>
            <w:tcW w:w="1372" w:type="dxa"/>
            <w:tcBorders>
              <w:tl2br w:val="nil"/>
              <w:tr2bl w:val="nil"/>
            </w:tcBorders>
            <w:shd w:val="clear" w:color="auto" w:fill="FFFFFF"/>
            <w:vAlign w:val="center"/>
          </w:tcPr>
          <w:p w14:paraId="715CA2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2A12C0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6645614">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381EA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626811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学前儿童感知觉的发展</w:t>
            </w:r>
          </w:p>
        </w:tc>
        <w:tc>
          <w:tcPr>
            <w:tcW w:w="1372" w:type="dxa"/>
            <w:tcBorders>
              <w:tl2br w:val="nil"/>
              <w:tr2bl w:val="nil"/>
            </w:tcBorders>
            <w:shd w:val="clear" w:color="auto" w:fill="FFFFFF"/>
            <w:vAlign w:val="center"/>
          </w:tcPr>
          <w:p w14:paraId="6D4055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067CE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75D92D6">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7C7C93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203C60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学前儿童注意的发展与培养</w:t>
            </w:r>
          </w:p>
        </w:tc>
        <w:tc>
          <w:tcPr>
            <w:tcW w:w="1372" w:type="dxa"/>
            <w:tcBorders>
              <w:tl2br w:val="nil"/>
              <w:tr2bl w:val="nil"/>
            </w:tcBorders>
            <w:shd w:val="clear" w:color="auto" w:fill="FFFFFF"/>
            <w:vAlign w:val="center"/>
          </w:tcPr>
          <w:p w14:paraId="1E1592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21B4C35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5D14661">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39B114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7A9DCD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学前儿童记忆的发展与促进策略</w:t>
            </w:r>
          </w:p>
        </w:tc>
        <w:tc>
          <w:tcPr>
            <w:tcW w:w="1372" w:type="dxa"/>
            <w:tcBorders>
              <w:tl2br w:val="nil"/>
              <w:tr2bl w:val="nil"/>
            </w:tcBorders>
            <w:shd w:val="clear" w:color="auto" w:fill="FFFFFF"/>
            <w:vAlign w:val="center"/>
          </w:tcPr>
          <w:p w14:paraId="546D80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9A0E9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D0EE5C7">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7A6FB6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3CDA4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学前儿童想象的发展与培养</w:t>
            </w:r>
          </w:p>
        </w:tc>
        <w:tc>
          <w:tcPr>
            <w:tcW w:w="1372" w:type="dxa"/>
            <w:tcBorders>
              <w:tl2br w:val="nil"/>
              <w:tr2bl w:val="nil"/>
            </w:tcBorders>
            <w:shd w:val="clear" w:color="auto" w:fill="FFFFFF"/>
            <w:vAlign w:val="center"/>
          </w:tcPr>
          <w:p w14:paraId="7F1A8C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7DD3DB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026165">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36B9BD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220D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学前儿童思维的发展与培养</w:t>
            </w:r>
          </w:p>
        </w:tc>
        <w:tc>
          <w:tcPr>
            <w:tcW w:w="1372" w:type="dxa"/>
            <w:tcBorders>
              <w:tl2br w:val="nil"/>
              <w:tr2bl w:val="nil"/>
            </w:tcBorders>
            <w:shd w:val="clear" w:color="auto" w:fill="FFFFFF"/>
            <w:vAlign w:val="center"/>
          </w:tcPr>
          <w:p w14:paraId="18BD6A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77D51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ACB12E">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CE4C1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1F06DAA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学前儿童言语的发展与培养</w:t>
            </w:r>
          </w:p>
        </w:tc>
        <w:tc>
          <w:tcPr>
            <w:tcW w:w="1372" w:type="dxa"/>
            <w:tcBorders>
              <w:tl2br w:val="nil"/>
              <w:tr2bl w:val="nil"/>
            </w:tcBorders>
            <w:shd w:val="clear" w:color="auto" w:fill="FFFFFF"/>
            <w:vAlign w:val="center"/>
          </w:tcPr>
          <w:p w14:paraId="5DD2C7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049F7F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C33327">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161B2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4D48B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学前儿童情绪情感的发展</w:t>
            </w:r>
          </w:p>
        </w:tc>
        <w:tc>
          <w:tcPr>
            <w:tcW w:w="1372" w:type="dxa"/>
            <w:tcBorders>
              <w:tl2br w:val="nil"/>
              <w:tr2bl w:val="nil"/>
            </w:tcBorders>
            <w:shd w:val="clear" w:color="auto" w:fill="FFFFFF"/>
            <w:vAlign w:val="center"/>
          </w:tcPr>
          <w:p w14:paraId="7548A5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7A362E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B5D3256">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353520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A74C0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学前儿童心理发展的影响因素</w:t>
            </w:r>
          </w:p>
        </w:tc>
        <w:tc>
          <w:tcPr>
            <w:tcW w:w="1372" w:type="dxa"/>
            <w:tcBorders>
              <w:tl2br w:val="nil"/>
              <w:tr2bl w:val="nil"/>
            </w:tcBorders>
            <w:shd w:val="clear" w:color="auto" w:fill="FFFFFF"/>
            <w:vAlign w:val="center"/>
          </w:tcPr>
          <w:p w14:paraId="0EDF30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1166E7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8E145EC">
        <w:tblPrEx>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single" w:color="7E5F00" w:themeColor="accent4" w:themeShade="7F" w:sz="8" w:space="0"/>
            <w:insideV w:val="single" w:color="7E5F00" w:themeColor="accent4" w:themeShade="7F"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267CBF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1428910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6F8235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40</w:t>
            </w:r>
          </w:p>
        </w:tc>
        <w:tc>
          <w:tcPr>
            <w:tcW w:w="1600" w:type="dxa"/>
            <w:tcBorders>
              <w:tl2br w:val="nil"/>
              <w:tr2bl w:val="nil"/>
            </w:tcBorders>
            <w:shd w:val="clear" w:color="auto" w:fill="FFFFFF"/>
            <w:vAlign w:val="center"/>
          </w:tcPr>
          <w:p w14:paraId="53F579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63371B7">
      <w:pPr>
        <w:rPr>
          <w:rFonts w:hint="eastAsia" w:ascii="黑体" w:hAnsi="黑体" w:eastAsia="黑体" w:cs="黑体"/>
          <w:b/>
          <w:bCs/>
          <w:color w:val="000000" w:themeColor="text1"/>
          <w:sz w:val="44"/>
          <w:szCs w:val="44"/>
          <w:lang w:eastAsia="zh-CN"/>
          <w14:textFill>
            <w14:solidFill>
              <w14:schemeClr w14:val="tx1"/>
            </w14:solidFill>
          </w14:textFill>
        </w:rPr>
        <w:sectPr>
          <w:headerReference r:id="rId6" w:type="first"/>
          <w:footerReference r:id="rId8" w:type="first"/>
          <w:headerReference r:id="rId5" w:type="default"/>
          <w:footerReference r:id="rId7" w:type="default"/>
          <w:pgSz w:w="11906" w:h="16838"/>
          <w:pgMar w:top="283" w:right="170" w:bottom="283" w:left="170" w:header="0" w:footer="0" w:gutter="0"/>
          <w:pgBorders>
            <w:top w:val="none" w:sz="0" w:space="0"/>
            <w:left w:val="none" w:sz="0" w:space="0"/>
            <w:bottom w:val="none" w:sz="0" w:space="0"/>
            <w:right w:val="none" w:sz="0" w:space="0"/>
          </w:pgBorders>
          <w:cols w:space="425" w:num="1"/>
          <w:docGrid w:type="lines" w:linePitch="312" w:charSpace="0"/>
        </w:sectPr>
      </w:pPr>
    </w:p>
    <w:p w14:paraId="22A1CA09">
      <w:pPr>
        <w:pStyle w:val="2"/>
        <w:bidi w:val="0"/>
        <w:jc w:val="center"/>
        <w:rPr>
          <w:rFonts w:hint="eastAsia" w:ascii="宋体" w:hAnsi="宋体" w:eastAsia="宋体" w:cs="宋体"/>
          <w:color w:val="auto"/>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学前儿童心理发展理论</w:t>
      </w:r>
    </w:p>
    <w:tbl>
      <w:tblPr>
        <w:tblStyle w:val="9"/>
        <w:tblW w:w="10772" w:type="dxa"/>
        <w:jc w:val="center"/>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Layout w:type="fixed"/>
        <w:tblCellMar>
          <w:top w:w="0" w:type="dxa"/>
          <w:left w:w="108" w:type="dxa"/>
          <w:bottom w:w="0" w:type="dxa"/>
          <w:right w:w="108" w:type="dxa"/>
        </w:tblCellMar>
      </w:tblPr>
      <w:tblGrid>
        <w:gridCol w:w="1626"/>
        <w:gridCol w:w="7404"/>
        <w:gridCol w:w="1742"/>
      </w:tblGrid>
      <w:tr w14:paraId="0B4810B3">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0C18419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4657D8A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学前儿童心理发展理论</w:t>
            </w:r>
          </w:p>
        </w:tc>
      </w:tr>
      <w:tr w14:paraId="07D62F8E">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2F2507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4F39E60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4DB23191">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A503AD0">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9625972">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634DA80">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能够重复经典实验、运用心理发展理论对儿童心理现象进行分析。</w:t>
            </w:r>
          </w:p>
          <w:p w14:paraId="3F25A15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掌握皮亚杰等心理学家有关儿童心理发展的观点。</w:t>
            </w:r>
          </w:p>
          <w:p w14:paraId="680F5FE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9716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学前儿童心理发展理论</w:t>
            </w:r>
            <w:r>
              <w:rPr>
                <w:rFonts w:hint="eastAsia" w:ascii="Times New Roman" w:hAnsi="宋体"/>
                <w:bCs/>
                <w:szCs w:val="20"/>
              </w:rPr>
              <w:t>，培养学生热爱科学、追求真理，树立正确的儿童观，尊重儿童、热爱儿童、爱岗敬业的教师职业素养。</w:t>
            </w:r>
          </w:p>
        </w:tc>
      </w:tr>
      <w:tr w14:paraId="577E1111">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13BBF892">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2AF04D4">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维果茨基的最近发展区理论</w:t>
            </w:r>
          </w:p>
          <w:p w14:paraId="309C4FA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柯尔伯格关于道德认知发展的三水平六阶段理论。</w:t>
            </w:r>
          </w:p>
        </w:tc>
      </w:tr>
      <w:tr w14:paraId="14529031">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8EE09F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002F90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005C6E3">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C0416FB">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49A075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96F875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7AD7A50">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4842618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C713DF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97519A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49490AD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2797F6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6DF8EE1C">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8697289">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l2br w:val="nil"/>
              <w:tr2bl w:val="nil"/>
            </w:tcBorders>
            <w:shd w:val="clear" w:color="auto" w:fill="FEF2CC" w:themeFill="accent4" w:themeFillTint="32"/>
            <w:vAlign w:val="center"/>
          </w:tcPr>
          <w:p w14:paraId="4CC4B3D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l2br w:val="nil"/>
              <w:tr2bl w:val="nil"/>
            </w:tcBorders>
            <w:shd w:val="clear" w:color="auto" w:fill="FEF2CC" w:themeFill="accent4" w:themeFillTint="32"/>
            <w:vAlign w:val="center"/>
          </w:tcPr>
          <w:p w14:paraId="7AC0997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36522968">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7081BEB">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1C1452C">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03E5A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0AD31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E07137E">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0F9564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2A703C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CC3021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A595158">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展示皮亚杰的认知发展理论</w:t>
            </w:r>
          </w:p>
          <w:p w14:paraId="1998BE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一、皮亚杰发生认识论的基本思想</w:t>
            </w:r>
          </w:p>
          <w:p w14:paraId="4BB892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（一）认知发展的本质</w:t>
            </w:r>
          </w:p>
          <w:p w14:paraId="06FA3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对于认识的发生发展，皮亚杰既不赞同遗传决定论，也不认可认识只是环境塑造的观点，他有自己的看法。皮亚杰认为知识是直接的运动行为的产物，儿童并不是从他人传达的事实中获取知识，也不是通过感觉和知觉来获得，而是来自于自身的运动。“知识在本质上既不是从客体发生的，也不是从主体发生的，而是从主体与客体之间的相互作用之中——最初便是纠缠得不可分的——发生的。”他从生物学观点出发，认为智力的本质是适应，不同种系的生物对环境有不同水平的适应能力，也就有不同的认识能力和智力水平。低级的智慧适应是把动作加以组织，同时又修改原有的动作组织；高级的智慧适应则是把经验内容加以组织，同时修改原有的思想观念以适应世界。</w:t>
            </w:r>
          </w:p>
          <w:p w14:paraId="15D8BA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（二）认知发展的机制</w:t>
            </w:r>
          </w:p>
          <w:p w14:paraId="72ABD1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皮亚杰指出人类的思维是以“图式”进行组织的。所谓图式就是表征行为和动作的有组织的心理模式，是人类认识事物的基础。对于婴儿，图式代表具体的行为，如吮吸、伸手以及每一个单独的行为。对于年长儿童，图式变得更加复杂和抽象，如骑自行车或打游戏所涉及的一系列技巧。皮亚杰认为儿童对世界理解的发展可以由两个基本原理进行解释：同化和顺应。同化是指将现有的心理模式运用到新情境中去。如小明最喜欢的玩具是塑料小锤，他经常拿小锤来敲木块。后来，他得到一个生日礼物，是一个玩具扳手。</w:t>
            </w:r>
          </w:p>
          <w:p w14:paraId="1148E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如果他用扳手来敲东西，就是把扳手同化到了已有的知识结构中。顺应是通过修正已有的观念以适应新的要求。如小孩子通常认为数量多的纸币代表更多的钱，他可能愿意要两张 1 元的纸币，而不愿意要一张 10 元的纸币。当他开始花钱买东西的时候，就不得不调整多和少的概念，这样，新的观念产生了，以顺应新的要求。儿童在认识事物的时候，总是试图用原有的图式去同化它，如获得成功，认识上暂时获得平衡；如不成功，儿童便做出顺应，调整原有的图式或创立新的图式去同化新事物，直到达到认识上的平衡。</w:t>
            </w:r>
          </w:p>
          <w:p w14:paraId="6EC45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所以，平衡是指同化作用和顺应作用两种机能的平衡。不过儿童认识上的每一次平衡都是暂时的，是另一种较高水平平衡运动的开始。这样儿童不断地建构新知识，形成新的认知结构，从而不断适应环境。</w:t>
            </w:r>
          </w:p>
          <w:p w14:paraId="44304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（三）影响认知发展的因素</w:t>
            </w:r>
          </w:p>
          <w:p w14:paraId="435C8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皮亚杰指出，影响儿童认知发展的四个基本因素是成熟、经验、社会环境和起自我调节作用的平衡过程。</w:t>
            </w:r>
          </w:p>
          <w:p w14:paraId="484BE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成熟</w:t>
            </w:r>
          </w:p>
          <w:p w14:paraId="2F2502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成熟主要指大脑和神经系统的发育程度。成熟的作用主要在于揭示发展的新的可能性，从而成为新的行为模式出现的必要条件。皮亚杰认为，“成熟的影响主要是为发展开辟新的可能性，就是说，对结构提供门径，在这些可能性未被提供以前，结构是不可能被演化出来的。但是在可能性与现实性之间，还须有一些其他的因素，如练习、经验和社会的相互作用”。例如，婴儿期出现的眼手协调，是建构婴儿动作图式的必要条件。</w:t>
            </w:r>
          </w:p>
          <w:p w14:paraId="0F6AA7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然而，若要使这种可能性成为现实，必须通过机能的练习和最低限度的习得经验，才能增强成熟的作用。</w:t>
            </w:r>
          </w:p>
          <w:p w14:paraId="030479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经验</w:t>
            </w:r>
          </w:p>
          <w:p w14:paraId="375AD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经验即个体对物体做出动作中的练习和习得经验。儿童通过与外界物质环境接触获得知识。皮亚杰指出有两类不同的经验：物理经验和数理逻辑经验。通过这两类经验，儿童分别建构两种知识：物理知识和数理逻辑知识。物理知识来自于儿童通过感官直接与物体接触时获取的直接经验，比如在摆弄石子的过程中认识石子的颜色、重量、大小等。数理逻辑知识来自于儿童在和物体的相互作用过程中抽象出来的经验，比如在摆弄石子的过程中认识到石子的数量与它的排列方式无关，与计数的先后次序无关等。皮亚杰认为，知识来源于动作，而非来源于物体。</w:t>
            </w:r>
          </w:p>
          <w:p w14:paraId="7DB2F8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社会环境</w:t>
            </w:r>
          </w:p>
          <w:p w14:paraId="44CA9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社会环境指社会互动和社会传递，主要是指他人与儿童之间的社会交往和教育的影响作用。其中，儿童自身的主动性是其获得社会经验的重要前提。皮亚杰指出，即使在主体似乎非常被动的社会传递如学校教学的情况下，如果缺少儿童主动的同化作用，这种社会化作用仍将无效，而儿童主动的同化作用则是以儿童是否具有适当的运思结构作为前提的。社会环境因素对儿童的发展能起到加速或推迟的作用，但不能超越或改变发展的顺序。</w:t>
            </w:r>
          </w:p>
          <w:p w14:paraId="683826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起自我调节作用的平衡过程</w:t>
            </w:r>
          </w:p>
          <w:p w14:paraId="5CB400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皮亚杰认为只有上述三个因素还不够，还必须有一个内部机制把它们整合起来，这就是通过同化、顺应达到适应的平衡过程。正是由于平衡过程，个体才有可能以一种有组织的方式，把接收到的信息联系起来，从而使认知得到发展。</w:t>
            </w:r>
          </w:p>
          <w:p w14:paraId="4D047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二、皮亚杰的认知发展阶段理论</w:t>
            </w:r>
          </w:p>
          <w:p w14:paraId="15A073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（一）感觉运动阶段（0 ～ 2 岁）</w:t>
            </w:r>
          </w:p>
          <w:p w14:paraId="49374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感觉运动阶段，婴儿主要通过感觉运动图式与外界环境相互作用，获取信息，求取平衡。这一阶段的主要成就是开始认识客体的永久性，末期出现因果性的最初观念。该阶段又被分为六个亚阶段，每个亚阶段的主要特征如表 2-1 所示。</w:t>
            </w:r>
          </w:p>
          <w:p w14:paraId="35EFC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458085" cy="2039620"/>
                  <wp:effectExtent l="0" t="0" r="1841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2458085" cy="2039620"/>
                          </a:xfrm>
                          <a:prstGeom prst="rect">
                            <a:avLst/>
                          </a:prstGeom>
                          <a:noFill/>
                          <a:ln>
                            <a:noFill/>
                          </a:ln>
                        </pic:spPr>
                      </pic:pic>
                    </a:graphicData>
                  </a:graphic>
                </wp:inline>
              </w:drawing>
            </w:r>
          </w:p>
          <w:p w14:paraId="186CD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468245" cy="1448435"/>
                  <wp:effectExtent l="0" t="0" r="8255"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468245" cy="1448435"/>
                          </a:xfrm>
                          <a:prstGeom prst="rect">
                            <a:avLst/>
                          </a:prstGeom>
                          <a:noFill/>
                          <a:ln>
                            <a:noFill/>
                          </a:ln>
                        </pic:spPr>
                      </pic:pic>
                    </a:graphicData>
                  </a:graphic>
                </wp:inline>
              </w:drawing>
            </w:r>
          </w:p>
          <w:p w14:paraId="05EBC2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从表中我们似乎可以得出，处在感觉运动阶段的婴儿只要到了某个特定年龄，就会自然地进入到下一亚阶段，实际并非如此。进入某一阶段的确切时间反映了婴儿身体的成熟水平和婴儿所处社会环境性质之间的交互作用。</w:t>
            </w:r>
          </w:p>
          <w:p w14:paraId="6869E2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lang w:val="en-US" w:eastAsia="zh-CN"/>
              </w:rPr>
            </w:pPr>
            <w:r>
              <w:rPr>
                <w:rFonts w:hint="default"/>
                <w:b/>
                <w:bCs/>
                <w:lang w:val="en-US" w:eastAsia="zh-CN"/>
              </w:rPr>
              <w:t>（二）前运算阶段（2 ～ 7 岁）</w:t>
            </w:r>
          </w:p>
          <w:p w14:paraId="00F912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在前运算阶段，儿童将感知动作内化为表象，建立了符号功能，可凭借心理符号（主要是表象）进行思维，从而使思维有了质的飞跃。但儿童的思维中直觉成分很大，很少使用推理和逻辑，具体特点如下。</w:t>
            </w:r>
          </w:p>
          <w:p w14:paraId="06B6B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1. 泛灵论</w:t>
            </w:r>
          </w:p>
          <w:p w14:paraId="2CEAB6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所谓泛灵论是指儿童相信，世界上凡是运动中的物体跟他自己一样，是有生命、有意识的，如风知道它自己的吹动，太阳知道它自己的转动等。前运算阶段的儿童无法区别有生命和无生命的事物，常把人的意识动机、意向推广到无生命的事物上。</w:t>
            </w:r>
          </w:p>
          <w:p w14:paraId="7CA1F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2. 自我中心思维</w:t>
            </w:r>
          </w:p>
          <w:p w14:paraId="0C8CD2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不能考虑其他人观点的思维是自我中心思维。学前儿童不明白其他人有着和自己不同的视角。自我中心思维有两种形式：缺乏他人会从不同物理角度看待事物的意识，以及不能意识到他人或许持有和自己不同的想法、感受及观点。例如，皮亚杰在一次实验中，让儿童挑选自己和对面木偶所看到的图片。结果发现，儿童可正确地选择自己所看到的图片，但是年龄较小的儿童不能正确选择对面的木偶所看到的图片。前运算阶段的儿童经常自言自语，也是他们自我中心思维的表现，因为他们意识不到别人会对自己的自言自语行为产生反应。</w:t>
            </w:r>
          </w:p>
          <w:p w14:paraId="525A7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3. 不能理顺整体和部分的关系</w:t>
            </w:r>
          </w:p>
          <w:p w14:paraId="637A1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通过要求儿童考察整体和部分关系的研究发现，儿童能把握整体，也能分辨两个不同的类别。但是，当要求他们同时考虑整体和整体的组成部分的关系时，儿童多半会给出错误的答案。如向幼儿展示 12 朵花，其中 6 朵玫瑰花，6 朵雏菊花，要幼儿指出这儿有几朵花，几朵玫瑰花，几朵雏菊花，幼儿都能做出正确回答。而当问幼儿“花多还是玫瑰花多”，幼儿却回答“一样多”。如向幼儿展示的花内玫瑰花较多，则他们的回答是“玫瑰花多”。这说明他们的思维受眼前的显著知觉特征的局限，而意识不到整体和部分的关系，皮亚杰称之为缺乏层级类概念（类包含关系）。</w:t>
            </w:r>
          </w:p>
          <w:p w14:paraId="6D705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4. 思维的不可逆性</w:t>
            </w:r>
          </w:p>
          <w:p w14:paraId="070BC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思维的可逆性有两种情况：一种是反演可逆性，认识到物体改变了形状或方位还可以改变回原状或原位。如把胶泥球变成香肠形状，幼儿会认为，香肠变大，大于球状了，却认识不到香肠再变回球状，两者就一般大了。另一种是互反可逆性，即两个运算互为逆运算，如 A=B，则反运算为 B=A；A&gt;B，则反运算为 B&lt;A。幼儿难以完成这种运算，他们尚缺乏对这种事物之间变化关系的可逆运算能力。从皮亚杰作为研究者和一名 4 岁男孩的谈话中，我们可以看到思维缺乏可逆性是什么样子。</w:t>
            </w:r>
          </w:p>
          <w:p w14:paraId="370FB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研究者：你有兄弟吗？</w:t>
            </w:r>
          </w:p>
          <w:p w14:paraId="28ABF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男孩：有。</w:t>
            </w:r>
          </w:p>
          <w:p w14:paraId="44D2F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研究者：他叫什么名字？</w:t>
            </w:r>
          </w:p>
          <w:p w14:paraId="1D414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男孩：吉姆。</w:t>
            </w:r>
          </w:p>
          <w:p w14:paraId="43AE75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研究者：吉姆有兄弟吗？</w:t>
            </w:r>
          </w:p>
          <w:p w14:paraId="0CABEF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男孩：没有。</w:t>
            </w:r>
          </w:p>
          <w:p w14:paraId="693C3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这个例子说明该男孩的思维具有不可逆性特点，知道自己有兄弟叫吉姆，而不知道自己也是吉姆的兄弟。</w:t>
            </w:r>
          </w:p>
          <w:p w14:paraId="19763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5. 缺乏守恒</w:t>
            </w:r>
          </w:p>
          <w:p w14:paraId="5BA0F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守恒是指物体的量与物体的知觉特征如排列、外在形状等无关的知识。守恒的类型有数量守恒、长度守恒、体积守恒、质量守恒等。前运算阶段的儿童认识不到在事物的表面特征发生某些改变时，其本质特征并不发生变化。不能守恒是前运算阶段儿童的重要特征，他们通常被事物的表面现象所蒙蔽。皮亚杰设计了大量相关实验来考察儿童思维的守恒情况。数量守恒实验是给儿童呈现两排砝码或糖果，前后排列一致，让他们回答两排砝码或糖果的数量是否一样多；之后实验者把其中的一排扩大或缩小间距，改变其外在形态，然后再让幼儿回答这两排的数量是否一样多。长度守恒实验是先向幼儿呈现两根相等的直线，移动其中一根，然后问幼儿移动后的两根直线是否相等。体积守恒实验是给儿童呈现两个一样的杯子，将水装至两个杯子的同一高度水平，让幼儿明白两个杯子中的水一样多，然后将其中的一杯水倒入一个较高或扁平的杯子中，问幼儿两杯水是否一样多。质量守恒实验是先向幼儿呈现两个一样质量的泥球，改变其中一个泥球的形状，然后问幼儿两个泥球的质量是否相等。一系列的守恒实验表明，处于前运算阶段的幼儿还不能理解不变性原则，还没有获得守恒概念。</w:t>
            </w:r>
          </w:p>
          <w:p w14:paraId="560F0C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lang w:val="en-US" w:eastAsia="zh-CN"/>
              </w:rPr>
            </w:pPr>
            <w:r>
              <w:rPr>
                <w:rFonts w:hint="default"/>
                <w:b/>
                <w:bCs/>
                <w:lang w:val="en-US" w:eastAsia="zh-CN"/>
              </w:rPr>
              <w:t>（三）具体运算阶段（7 ～ 12 岁）</w:t>
            </w:r>
          </w:p>
          <w:p w14:paraId="59E4EA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具体运算阶段相当于儿童的小学阶段，时间大致从 7 岁到 12 岁。在这一阶段，智力活动具有守恒性、可逆性，儿童掌握了群体运算、空间关系、分类和序列等逻辑运算能力，较之前一阶段，智力活动的性质有了本质上的改变。当然，从前运算思维到具体运算思维的转变不是一夜之间发生的。在儿童确定处于具体运算阶段的前两年中，其思维在前运算和具体运算之间来回地摇摆。如他们一般能够正确回答守恒问题，但不能说出为什么。而儿童一旦完全采用具体运算思维，他们就展现出很多认知进展。但由于这一阶段的儿童运算还离不开具体事物的支持，只能把逻辑运算应用于具体的或观察所及的事物，而不能把逻辑运算扩展到抽象概念中，如不能理解自由意志或决定论这样的概念，因此称为“具体运算”。</w:t>
            </w:r>
          </w:p>
          <w:p w14:paraId="1A356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lang w:val="en-US" w:eastAsia="zh-CN"/>
              </w:rPr>
            </w:pPr>
            <w:r>
              <w:rPr>
                <w:rFonts w:hint="default"/>
                <w:b/>
                <w:bCs/>
                <w:lang w:val="en-US" w:eastAsia="zh-CN"/>
              </w:rPr>
              <w:t>（四）形式运算阶段（11、12 岁以后）</w:t>
            </w:r>
          </w:p>
          <w:p w14:paraId="6BE16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lang w:val="en-US" w:eastAsia="zh-CN"/>
              </w:rPr>
            </w:pPr>
            <w:r>
              <w:rPr>
                <w:rFonts w:hint="default"/>
                <w:lang w:val="en-US" w:eastAsia="zh-CN"/>
              </w:rPr>
              <w:t>形式运算阶段是人们已经发展出抽象思维能力的一个阶段。皮亚杰认为个体从进入青春期开始，11、12 岁以后，就进入形式运算阶段。这一阶段的儿童已经不局限于现实的事物，而能设想各种可能性。他们能从周围环境中的事物概括出其中的原则，并能提出假设来。需要注意的是，尽管皮亚杰指出儿童进入青春期后就可以进入到形式运算阶段，但直到 15 岁左右，儿童才会完全进入到形式运算阶段，而且个体之间的差异还很大。一些证据表明，相当一部分人在很晚的年龄才具有形式运算的能力，而有些人甚至一直都没有获得形式运算能力。例如，大部分研究表明，只有 40% ～ 60% 的大学生和成人能够完全掌握形式运算思维。青少年儿童在使用形式运算上的差异与他们的成长环境有关系。</w:t>
            </w:r>
          </w:p>
          <w:p w14:paraId="55DC1935">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7178D5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展示皮亚杰的认知发展理论</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56D6D08">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8965769">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745549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A7E5ED0">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认知发展的本质。</w:t>
            </w:r>
          </w:p>
        </w:tc>
        <w:tc>
          <w:tcPr>
            <w:tcW w:w="1366" w:type="dxa"/>
            <w:tcBorders>
              <w:tl2br w:val="nil"/>
              <w:tr2bl w:val="nil"/>
            </w:tcBorders>
            <w:vAlign w:val="center"/>
          </w:tcPr>
          <w:p w14:paraId="3A9FD19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A96F14">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4CB4EE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2828EA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C96647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展示维果茨基的心理发展理论</w:t>
            </w:r>
          </w:p>
          <w:p w14:paraId="43D665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一、儿童心理机能的发生发展</w:t>
            </w:r>
          </w:p>
          <w:p w14:paraId="094D29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维果茨基非常重视社会文化在儿童心理发展中的作用。他认为如果不考虑儿童成长于其中的社会文化背景，那么就无法对儿童心理发展进行全面的理解。社会文化在儿童心理发展中具有什么作用，儿童心理机能从低级到高级发展的标志及表现是什么，维果茨基的理论对此都进行了回答。</w:t>
            </w:r>
          </w:p>
          <w:p w14:paraId="1DF2FA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（一）社会文化历史在儿童心理发展中的作用</w:t>
            </w:r>
          </w:p>
          <w:p w14:paraId="4F9BDF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了全面地理解儿童的心理发展，维果茨基从人与动物心理的本质区别出发，将心理机能划分为两大类：一类是低级心理机能，一类是高级心理机能。维果茨基认为，所谓低级心理机能，是依靠生物进化而获得的心理机能，是在种族发展的过程中出现的，如感觉、知觉、机械记忆、不随意记忆、形象思维、情绪、冲动性意志等心理过程均属低级心理机能。低级心理机能伴随着有机体的自身结构，特别是神经系统的发展而发展。高级心理机能包括随意注意、词的逻辑记忆、抽象思维、高级情感、创造想象和意志等。它们具有一系列不同于低级心理机能的特点，如它们是随意的、主动的，并有自觉的目的，有思维的参与，反映水平是抽象的、概括的，其实质在于以语言和符号为中介，受社会历史发展规律制约，为人类所特有。</w:t>
            </w:r>
          </w:p>
          <w:p w14:paraId="385C80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儿童的高级心理机能是怎样发展的？为了回答这个问题，维果茨基提出了高级心理机能的“二次登台理论”。他说，“任何一种高级心理机能在儿童的发展中都是二次登台的，第一次是作为集体的活动、社会的活动，即作为心理间的机能而登台的；第二次才是作为个人活动，作为儿童的思维的内部方式，作为内部心理机能而登台的。”显然，维果茨基认为儿童心理发展的实质是活动的内化，是从集体的、社会的、合作的活动向个体的、独立的活动形式的转化，从外部的、心理间的活动形式向内部的心理过程的转化，儿童的高级心理机能起源于社会文化，起源于与周围人的交往。高级心理机能的二次登台理论实质是社会起源论，高级心理机能不是生物学上形成的，乃是内化了的社会关系。如儿童自我控制能力的发展最初是在成人的言语调节下开始的，父母告诉孩子“饭前要洗手”“吃饭时不要说笑”，儿童照着做了。慢慢的儿童在饭前、饭中也会告诫自己说“饭前要洗手”“吃饭时不要说笑”，儿童的自我控制能力水平提升。最后儿童把这些告诫内化到自己的头脑中，进行不出声的告诫，自我调控能力进一步发展。</w:t>
            </w:r>
          </w:p>
          <w:p w14:paraId="15ABE5C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维果茨基指出：“人的心理的实质乃是移置在内部并成为个性的机能及其结构形式的社会关系的总和。”用这一观点来考察儿童的心理发展时，我们必须重视环境和教育的作用。不同儿童的心理发展水平的不同，在很大程度上决定于他们的社会交往质量。</w:t>
            </w:r>
          </w:p>
          <w:p w14:paraId="729B20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（二）儿童心理机能发展的表现</w:t>
            </w:r>
          </w:p>
          <w:p w14:paraId="307121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维果茨基认为，儿童心理机能从低级发展到高级有以下四个方面的表现。</w:t>
            </w:r>
          </w:p>
          <w:p w14:paraId="554E90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心理活动的随意机能的形成与发展</w:t>
            </w:r>
          </w:p>
          <w:p w14:paraId="085675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所谓随意机能，指心理活动是主动的、有意的，是由主体依据预定的目的自觉引发的。心理的随意性可以在多种心理活动中表现出来，如注意有无意注意和有意注意之分，行为意志有冲动性的和预见性的之分等。而心理机能由无意的发展成为有意的，就是其由低级转化为高级的表现之一。</w:t>
            </w:r>
          </w:p>
          <w:p w14:paraId="0A6905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心理活动的抽象—概括机能的形成与发展</w:t>
            </w:r>
          </w:p>
          <w:p w14:paraId="466B43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所谓心理活动的抽象—概括机能，即各种心理机能由于思维特别是抽象逻辑思维的参与而趋向高级化。在个体的心理发展中，由于词和语言的发展，心理活动更具概括性和间接性，最后形成高级的意识系统。例如，具体形象思维向抽象逻辑思维的转变，再造想象向创造想象的转化，低级情感向高级社会情感的转变，都是心理活动具有抽象—概括机能的表现。这种表现标志着高级心理机能的出现。</w:t>
            </w:r>
          </w:p>
          <w:p w14:paraId="264C91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心理结构的形成</w:t>
            </w:r>
          </w:p>
          <w:p w14:paraId="011999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各种心理机能间的关系不断重建，形成新的系统，并最终形成间接的、以符号或词为中介的心理结构。例如，3 岁前儿童的意识系统中，知觉和直观思维是其中心；到学前期，在意识系统中占主导地位的是记忆；学龄期儿童的意识系统则是以逻辑记忆和抽象思维为核心的。心理结构这种重建性的变化代表了心理机能从低级到高级的发展和过渡。</w:t>
            </w:r>
          </w:p>
          <w:p w14:paraId="36630A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心理活动的个性化</w:t>
            </w:r>
          </w:p>
          <w:p w14:paraId="151157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个性形成是高级心理机能发展的重要标志。维果茨基强调指出，儿童心理机能的增长，不但是个别机能从某一年龄向另一年龄过渡时的增长和发展，而且主要是儿童个性的增长和发展，整个意识的增长和发展。因此，以上四个方面的发展是相互联系、相互促进的。</w:t>
            </w:r>
          </w:p>
          <w:p w14:paraId="450916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二、教学与儿童的心理发展</w:t>
            </w:r>
          </w:p>
          <w:p w14:paraId="08D62F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维果茨基相信儿童会主动地去发现新的规则，学习新的知识，但根据高级心理机能社会起源论，儿童个体的心理发展是在社会交往中，特别是在与比自己年长或同辈中更有知识经验的社会成员的交往中实现的。而教学作为一种特殊的成人与儿童之间的交往方式，势必在儿童的发展中扮演着非常重要的角色。维果茨基曾明确地指出“作为交往和它的最系统的形式便是教学”“教学可以定义为人为的发展”。但维果茨基这里所指的教学概念更宽泛，不仅仅指狭义的课堂教学，甚至从儿童出生那天起，成人与儿童便开始了教学上的交往。儿童许多最重要的发现都是在熟练的教师的指导下完成的。</w:t>
            </w:r>
          </w:p>
          <w:p w14:paraId="5BD9A9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教学如何才能促进儿童的心理发展？教师怎样指导儿童才更有效？在研究教学与儿童发展的关系时，维果茨基提出了著名的“最近发展区”理论。</w:t>
            </w:r>
          </w:p>
          <w:p w14:paraId="202FD4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（一）最近发展区理论</w:t>
            </w:r>
          </w:p>
          <w:p w14:paraId="53AF3E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早在 20 世纪二三十年代，维果茨基就提出了“最近发展区”概念。为了使教学更好地促进儿童的发展，教学任务就应该具有适当的难度。教学任务过于容易，教学就成了发展的尾巴，对儿童的发展没有积极的促进作用。教学任务过难，教学不会引发儿童学习的积极性，导致儿童产生畏难、厌恶的情绪，也不会促进甚至会阻碍儿童的发展。维果茨基认为，良好的教学是使教学任务落在儿童最近发展区内的教学。这样的教学至少要确定儿童的两种发展水平：一种是儿童在独立活动中所达到的解决问题的水平；另一种是借助成人的帮助或在与有能力的同伴合作中所达到的解决问题的水平。这两种水平之间的差异就是最近发展区。在最近发展区内提供适宜的指导，儿童就能够理解并掌握某项新技能。例如，一个 5 岁儿童自己不能对 5 根木签按照长短进行排序，但在教师的指导下，他做到了，那么按照知觉属性对 5 个物品进行排序在 5 岁儿童的最近发展区内。</w:t>
            </w:r>
          </w:p>
          <w:p w14:paraId="795C03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最近发展区认为，即使两个儿童在没有帮助的情况下都能够实现同样程度的发展，但如果一个儿童得到了帮助，他就会比另外一个儿童进步更大。进而，维果茨基认为在儿童具有高一级的心理机能之前，这种机能通常存在于儿童与他人的交流和合作中。如一个 3 岁的儿童在和同伴的游戏互动中，表现出了他平时听故事时所缺少的集中注意的能力。有一天，该儿童和几个同伴一起在幼儿园玩。一个同伴坐在一张椅子上，扮成教师的样子在“读故事给小朋友们听”，其他几个同伴假装是学生，全神贯注地听“教师”读书。这个爱动的儿童竟然也能安静地坐在那里，时间大约有四五分钟。可见，在他的“最近发展区”内，他能保持几分钟的注意力，但是他需要的是一种特殊的帮助，即同伴和游戏。</w:t>
            </w:r>
          </w:p>
          <w:p w14:paraId="0ABE96A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最近发展区概念的提出，可以使我们更科学全面地看待儿童的发展水平。我们不仅要看儿童的现有发展水平，还要看儿童的最近发展区。例如，甲、乙两个儿童都正确给出了两个点和数字 9 相加的答案，如果仅从运算结果看，两个儿童的现有发展水平相同，但实际上两个儿童的运算过程却大不一样。甲是以点为基数，将数字 9 转化为点，再逐一加上去，得出正确结果；乙是将点转化为数，对抽象的数字做加法运算，得出正确答案。</w:t>
            </w:r>
          </w:p>
          <w:p w14:paraId="71A044E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可见，两个儿童的现有发展水平是不同的。在教师或他人的指导帮助下，甲可能实现以大数为基础，将点逐一加到大数上面，得出正确结果，乙可能很快学会 100 以内的加减运算。可见这两个儿童的最近发展区是不一样的。</w:t>
            </w:r>
          </w:p>
          <w:p w14:paraId="2364C1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维果茨基的最近发展区理论是对之前教学与发展关系观点的批判，提出只有走在发展前面的教学才是好教学。教学只有不断地创造最近发展区，才能促进儿童心理发展，成为儿童心理发展的源泉。</w:t>
            </w:r>
          </w:p>
          <w:p w14:paraId="46D6D4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（二）学习的最佳期限</w:t>
            </w:r>
          </w:p>
          <w:p w14:paraId="30AA39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教学过程中，究竟如何体现最近发展区的重要思想，做到教学走在发展的前面呢？维果茨基对此又提出了学习最佳期限问题。他认为，这个问题可以说明发挥教学最大作用的途径。对于儿童而言，任何广义的教学都与年龄相联系，只有达到一定的成熟，才能使某一学科的学习成为可能，但若超过学习的最佳年龄，其效果只能事倍功半。可见，学习期限应该分为最晚期限和最早期限。维果茨基认为，若脱离学习的最佳期限，过早或过迟的学习均不利于发展，还会成为儿童智力发展的障碍。例如，我们不能教 1 岁的孩子学写字，也不能等儿童到了6岁才开始学数数。这两种情况对儿童的发展都是有害的、不利的。教学需以成熟为前提，但更重要的是应使教学建立在正在开始但尚未形成的心理机能之上，走在心理机能形成之前。如 4、5 岁的儿童已能注意到物体的运动变化过程，初步具有运动表象的能力，但较为含糊不稳定，这时成人如果能够对此加以适当的教育、引导和训练，儿童的运动表象能力就会快速发展。总之，为了发挥教学的最大效用，维果茨基认为，对一切教学和教养过程而言，最重要的恰恰是那些处于成熟阶段，但还未到成熟地步的特性，这为教师了解学习的最佳期限提供了线索。</w:t>
            </w:r>
          </w:p>
          <w:p w14:paraId="61BA36F1">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DBC17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维果茨基的心理发展理论的基本理论知</w:t>
            </w:r>
            <w:r>
              <w:rPr>
                <w:rFonts w:hint="eastAsia" w:ascii="Times New Roman" w:hAnsi="Times New Roman"/>
                <w:b/>
                <w:szCs w:val="24"/>
              </w:rPr>
              <w:t>识。</w:t>
            </w:r>
          </w:p>
        </w:tc>
      </w:tr>
      <w:tr w14:paraId="66E1D5A2">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5231E3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C999D1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92D1A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80F7C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维果茨基的心理发展理论，让学生知道维果茨基的最近发展区理论是对之前教学与发展关系观点的批判，提出只有走在发展前面的教学才是好教学。</w:t>
            </w:r>
          </w:p>
        </w:tc>
        <w:tc>
          <w:tcPr>
            <w:tcW w:w="1366" w:type="dxa"/>
            <w:tcBorders>
              <w:tl2br w:val="nil"/>
              <w:tr2bl w:val="nil"/>
            </w:tcBorders>
            <w:vAlign w:val="center"/>
          </w:tcPr>
          <w:p w14:paraId="4DF6F84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B9B16B1">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4DC6DAF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BC8EE9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2E53DC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简述学习的最佳期限。</w:t>
            </w:r>
          </w:p>
        </w:tc>
        <w:tc>
          <w:tcPr>
            <w:tcW w:w="1366" w:type="dxa"/>
            <w:tcBorders>
              <w:tl2br w:val="nil"/>
              <w:tr2bl w:val="nil"/>
            </w:tcBorders>
            <w:vAlign w:val="center"/>
          </w:tcPr>
          <w:p w14:paraId="4924AD2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38E0C1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16201D7E">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CC2249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展示柯尔伯格的道德发展理论</w:t>
            </w:r>
          </w:p>
          <w:p w14:paraId="29860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一、柯尔伯格的道德认知发展阶段理论的主要内容</w:t>
            </w:r>
          </w:p>
          <w:p w14:paraId="215EE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认为人的道德观是习得的，而且道德发展在一定程度上取决于儿童思维和推理能力的发展，所以道德认知是儿童认知发展的主要内容，是道德情感、道德意志和道德行为的前提。而道德判断又是道德认知的核心成分，所以他所研究的道德认知发展主要集中于道德判断的发展。道德判断是一个人根据道德原则对行为正确或错误进行的判断，即道德评价。</w:t>
            </w:r>
          </w:p>
          <w:p w14:paraId="161EE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现实生活中，人们经常会处在左右为难的情境。如医生面对得了绝症、痛苦异常的患者，是让患者继续忍受下去，还是接受他的请求施以安乐死？柯尔伯格从儿童面对道德两难问题的反应入手，离析出了道德判断的结构，并以此为标准将儿童的道德认知发展划分为三个水平六个阶段。他的研究方法被称作道德两难故事法。为了研究儿童的道德认知发展情况，柯尔伯格编了一些道德两难故事，讲给不同年龄阶段的儿童听，其中最有名的就是海因茨偷药的故事：欧洲有个妇女患了癌症，生命垂危。医生说只有本城一个药剂师新研制的药能救她，但这种药很贵。病人的丈夫海因茨到处借钱也没凑够。海因茨恳求药剂师将药便宜点卖给他，或者允许他赊账，但遭到药剂师的拒绝。海因茨没有别的办法，只好偷走了药剂师的药。故事讲完后请儿童回答“你认为海因茨应该这么做吗？为什么？”等一系列问题，根据儿童判断的理由以此考察儿童的道德推理过程。柯尔伯格关于儿童道德认知发展的理论早在他 1958 年的博士论文里就已经提出，后来他不断地修正，一直到 20 世纪 80 年代初发表了他最新的、最全面的也是他生前最后一次修正的道德发展阶段模型。柯尔伯格认为儿童道德认知发展经历的三个水平分别是前习俗水平、习俗水平和后习俗水平。每一个水平他还区分出两个阶段，分别是惩罚与服从定向阶段、奖赏取向阶段、人际关系定向阶段、维护权威或秩序的道德定向阶段、社会契约定向阶段和普遍的道德原则定向阶段。</w:t>
            </w:r>
          </w:p>
          <w:p w14:paraId="1118C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（一）前习俗水平</w:t>
            </w:r>
          </w:p>
          <w:p w14:paraId="198FF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前习俗水平阶段的儿童已具备关于是非善恶的社会准则和道德要求，但他们是从行动的结果及与自身的利害关系来判断是非的。</w:t>
            </w:r>
          </w:p>
          <w:p w14:paraId="615009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阶段 1，惩罚与服从的定向阶段。这个阶段的儿童坚持规则是为了避免惩罚，为了服从而服从。如赞成偷药的儿童可能会说，“如果他让他的妻子死掉，就会陷入麻烦。他将会因为没有花钱去救她而遭到谴责。他和药剂师都会因他妻子的死而受到调查。”反对偷药的儿童可能会回答，“他不应该偷药，因为可能会被抓住，被送进监狱。”</w:t>
            </w:r>
          </w:p>
          <w:p w14:paraId="42F66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阶段 2，奖赏取向阶段。这一阶段儿童首先考虑的是，准则是否符合自己的需要，有时也包括别人的需要，并初步考虑到人与人的关系，但人际关系常被看成是交易的关系。对自己有利的就好，不利的就不好，好坏以自己的利益为准。赞成偷药的儿童可能会说，“如果他碰巧被抓了，他可以把药还回去，判刑也不会太重。如果只是服一个小小的刑期，而且在他出去后妻子仍健在的话，对他不会造成太多麻烦。”反对偷药的儿童可能会说，“他不应该偷药，因为偷了药他不会得到任何好处，因为他妻子可能在他出狱之前就死掉了。”</w:t>
            </w:r>
          </w:p>
          <w:p w14:paraId="0CA48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柯尔伯格发现大多数9岁以前的儿童及大多数犯罪人的道德发展都处在前习俗水平。</w:t>
            </w:r>
          </w:p>
          <w:p w14:paraId="5606B6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1973 年，柯尔伯格在与其他同事合著的《矫正中的公正社区观点：手册》一书中指出，大部分犯罪人的道德发展处在第 1 或第 2 阶段，而大部分的非犯罪人的道德发展处在第3 或第 4 阶段。</w:t>
            </w:r>
          </w:p>
          <w:p w14:paraId="169304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（二）习俗水平</w:t>
            </w:r>
          </w:p>
          <w:p w14:paraId="0C1BB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习俗水平阶段的儿童在处理道德问题时把自己当作社会的一员，他们感兴趣于成为社会的好公民来取悦他人，这是和儿童的思维发展特点相吻合的。随着儿童自我中心性思维的降低，儿童能够从认知上考虑他人。</w:t>
            </w:r>
          </w:p>
          <w:p w14:paraId="57BF0B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阶段 3，人际关系的定向阶段或好孩子定向阶段。这个阶段的儿童认为一个人的行为正确与否，主要看他是否为别人所喜爱，是否对别人有帮助或受别人称赞。赞成偷药的儿童可能会说，“如果他偷了药，没有人会认为他很坏，但是如果他没有去偷药，他的家人会认为他是个没有人性的丈夫。如果他让妻子死掉，他再也不能面对任何人。”</w:t>
            </w:r>
          </w:p>
          <w:p w14:paraId="52378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不赞成偷药的儿童可能会说，“不只是药剂师会认为他是个罪犯，任何人都会这样想。如果他偷了药，他就会觉得他让自己和家人都蒙了羞，再也不能面对任何人了。”阶段 4，维护权威或秩序的道德定向阶段。这一阶段的儿童意识到了普遍的社会秩序，强调服从法律，使社会秩序得以维持。儿童遵守不变的法则和尊重权威，并要求别人也遵守。有人也把这一阶段称为好公民定向阶段。赞成偷药的儿童可能会说，“如果他还有一点荣誉感，就不会仅仅因为害怕去做唯一能够救妻子的事情而让她去死。如果他对妻子没有尽责，他就会觉得自己导致了她的死亡而感到内疚。”不赞成偷药的儿童可能会说，“他很绝望，当他偷药的时候他可能并不知道他做错了，但是当他被送进监狱时，他就会知道这一点。他会因为自己的不诚实和违法的行为而感到内疚。”柯尔伯格发现没犯罪的青少年和大多数成人的道德发展处在习俗水平。</w:t>
            </w:r>
          </w:p>
          <w:p w14:paraId="59AC8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（三）后习俗水平</w:t>
            </w:r>
          </w:p>
          <w:p w14:paraId="78557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后习俗水平阶段的人们超越他们所处社会的特定规则来思考普遍的道德原则。在成年人中达到该推理水平者不到 25%。</w:t>
            </w:r>
          </w:p>
          <w:p w14:paraId="64D58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阶段 5，社会契约的定向阶段。在前一阶段，个人持严格维持法律与秩序的态度，刻板地遵守法律与社会秩序。而在本阶段，个人看待法律较为灵活，认识到法律、社会习俗仅是一种社会契约，是可以改变的，而不是固定不变的。一般说来，这一阶段是不违反大多数人的意愿和幸福的，但并不同意用单一的规则来衡量一个人的行为。道德判断灵活了，能从法律上、道义上较辩证地看待各种行为的是非善恶。赞成偷药的儿童可能会说，“如果他没有偷药，他将会失去自尊而不是得到他人的尊重。如果他让妻子死去，那将是出于恐惧而不是理性。所以他将会失去自尊，很可能也会失去其他人的尊重。”不赞成偷药的儿童可能会说，“他不应该去偷药。药剂师应该受到谴责，但还是应该保持对他人权利的尊重。”</w:t>
            </w:r>
          </w:p>
          <w:p w14:paraId="60F2F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阶段 6，普遍的道德原则的定向阶段。这个阶段认为好的行为是由自我选定的道德准则、个人的良心决定的，这些准则是抽象的、伦理的，而不是具体的道德指令，公正、尊严和平等被赋予很高的价值。在判断道德行为时，不仅考虑到适合法律的道德准则，同时还要考虑到未成文的有普遍意义的道德准则。道德判断已超越了某些规章制度，更多地考虑道德的本质，而非具体的准则。赞成偷药的儿童可能会说，“如果他没有偷药，让妻子死掉，那么他以后会因此常常谴责自己，因为他没有遵从自己的良知标准。”“他应该偷药，接着去自首，他也许会受到惩罚，但是他挽救了一个人的生命，值得。”不赞成的儿童可能会说，“如果他偷了药，将不会被其他人责备，但是他自己会谴责自己，因为他没能遵从自己的良心和诚实的准则。”</w:t>
            </w:r>
          </w:p>
          <w:p w14:paraId="6E9C7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二、柯尔伯格的道德阶段发展理论在教育中的应用</w:t>
            </w:r>
          </w:p>
          <w:p w14:paraId="48122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柯尔伯格根据自己的儿童道德发展理论，对儿童道德教育问题进行了研究和实践。</w:t>
            </w:r>
          </w:p>
          <w:p w14:paraId="3ED4C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（一）道德教育的目的</w:t>
            </w:r>
          </w:p>
          <w:p w14:paraId="7EE52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认为发展是道德教育的根本目的，而这种发展是通过阶段发生的。柯尔伯格反对传统道德教育仅仅将传递社会主流价值观作为教育的目的，道德教育的目的是促进儿童进入道德发展的高一级阶段。而道德发展主要是道德认知发展，尤其是道德判断和推理能力的发展。因为柯尔伯格认为儿童的道德认知发展水平和道德行为是相互联系的，基本上是一种单向线性关系。儿童道德成熟的标志在于他能否做出正确的道德判断并形成他自己的道德原则的能力，而不是只具备服从他周围成人的道德判断的能力。柯尔伯格的道德教育目的具体来看，可以细分为三个目标：①提高儿童的道德判断和推理能力，促进儿童沿着三水平六阶段发展顺序一步一步地向上发展；②使儿童将新获得的较高的道德判断和推理能力加以普遍化；③促使儿童在面临各种真实的道德问题时，也能按自己已经获得的较高阶段的能力去实践，指导自己的道德行为。</w:t>
            </w:r>
          </w:p>
          <w:p w14:paraId="31475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（二）道德教育的内容</w:t>
            </w:r>
          </w:p>
          <w:p w14:paraId="62BBF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认为公正是道德教育的主要内容。他认为公正首先是关心全人类的价值和平等以及人类关系中的互惠，是一个根本的和普遍的原则。而传统道德教育的内容却是诸如诚实、责任、友谊、服务等人们普遍赞同的品格。柯尔伯格引用苏格拉底的观点说，美德不是多个而是一个，它的名字叫公正。与公正相比，道德的其他特征就次要得多了，要么是公正的补充，要么是由公正派生的。柯尔伯格认为公正不是一个具体的行为准则，不像诚实那样存在于美德背后，公正是道德原则，是道德教育的总纲和最终目标，并贯穿于道德发展过程的始终。在道德认知发展的第一阶段，公正是以眼还眼以牙还牙；在第二阶段，公正是你对我好，我也对你好；在第三阶段，公正意味着依他人的期望和自己的社会角色行事；在第四阶段，公正体现在对社会秩序和权威规则的尊重和维护；在第五阶段，持公正信念的人会用生命来捍卫和尊奉自愿和理智前提下所制定的契约；在第六阶段，公正成为普遍的伦理原则，任何理智者应当具备遵守此原则的个人义务感。</w:t>
            </w:r>
          </w:p>
          <w:p w14:paraId="12D8E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（三）道德教育的方法</w:t>
            </w:r>
          </w:p>
          <w:p w14:paraId="5762D9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柯尔伯格反对传统德育的灌输方法，主张道德教育的认知冲突法和角色扮演法。</w:t>
            </w:r>
          </w:p>
          <w:p w14:paraId="142AB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139A48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展示简笔画的工具材料及使用方法（一）展示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简笔画的工具材料及使用方法</w:t>
            </w:r>
            <w:r>
              <w:rPr>
                <w:rFonts w:hint="eastAsia" w:ascii="Times New Roman" w:hAnsi="Times New Roman"/>
                <w:b/>
                <w:szCs w:val="24"/>
              </w:rPr>
              <w:t>（一）的基本理论知识。</w:t>
            </w:r>
          </w:p>
        </w:tc>
      </w:tr>
      <w:tr w14:paraId="46590AD8">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3E0945F">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17ACA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62BB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28FC1B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柯尔伯格的道德发展理论，柯尔伯格引用苏格拉底的观点说，美德不是多个而是一个。</w:t>
            </w:r>
          </w:p>
        </w:tc>
        <w:tc>
          <w:tcPr>
            <w:tcW w:w="1366" w:type="dxa"/>
            <w:tcBorders>
              <w:tl2br w:val="nil"/>
              <w:tr2bl w:val="nil"/>
            </w:tcBorders>
            <w:vAlign w:val="center"/>
          </w:tcPr>
          <w:p w14:paraId="55113E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CABD520">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921E37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74E9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B89EF9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简述道德教育的内容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E81D3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470118F">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AD0E4D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5FE485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848BAC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展示精神分析学派的心理发展理论</w:t>
            </w:r>
          </w:p>
          <w:p w14:paraId="1351CD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一、弗洛伊德的心理发展观</w:t>
            </w:r>
          </w:p>
          <w:p w14:paraId="795483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弗洛伊德是奥地利著名的精神病学家，精神分析学派的创始人。他 1856 年出生于摩拉维亚的一个犹太商人家庭，1860年随家庭迁居至奥地利维也纳。弗洛伊德自幼聪颖，兴趣广泛。1881 年，弗洛伊德获医学博士学位。1895 年，他和布洛伊尔（J. Breuer）合著的《癔病研究》一书的出版，标志着精神分析学派的诞生。此后，他笔耕不辍，先后出版了《梦的解析》《性学三论》《日常生活中的心理病理学》等多部著作。</w:t>
            </w:r>
          </w:p>
          <w:p w14:paraId="6DF39F4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（一）人格结构理论以及人格发展观</w:t>
            </w:r>
          </w:p>
          <w:p w14:paraId="39B40D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在人格结构理论形成的初期，弗洛伊德区分了意识、前意识和潜意识。在人格结构理论形成的后期，弗洛伊德引进了本我、自我和超我的概念。</w:t>
            </w:r>
          </w:p>
          <w:p w14:paraId="210603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本我，是人格的驱动力量，包含所有的本能，如饥、渴、性等。本我完全是潜意识的，受快乐原则支配，追求的目标是满足的最大化和压力的缓解。本我通过两种手段满足需要，其一是反射行为，如打喷嚏、从痛苦的刺激中退缩就是典型的反射行为；其二是愿望的满足，即本我想象出某种对象的意象来满足目前的需要。</w:t>
            </w:r>
          </w:p>
          <w:p w14:paraId="2063E4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心理发展中，年龄越小，本我作用越重要，婴儿几乎全部处于本我状态。儿童着年龄的增长，不断地扩大和外界的交往，以满足自身增加的需要和欲望，并维持一种令其舒适的紧张水平。在本我需要和现实世界不断接通有效而适当的联络时，自我就从儿童的本我中逐渐发展出来。</w:t>
            </w:r>
          </w:p>
          <w:p w14:paraId="4D3D75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自我，是意识结构部分。它既能意识到本我的需要，也能认识到现实世界的要求。</w:t>
            </w:r>
          </w:p>
          <w:p w14:paraId="155778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自我在个体外在的现实世界和内在的原始本我之间起着缓冲器的作用。弗洛伊德曾将自我与本我的关系比作骑士与马的关系。马提供能量，而骑士则指导马朝着他想去游历的方向前进。这就是说，自我不能脱离本我而独立存在，然而，由于自我联系现实、知觉和操作现实，于是能参考现实来调节本我。这样，自我遵循现实原则进行操作，现实地解除个体的紧张状态以满足其本我需要，而不是以想象的方式满足需要。因此，自我并不妨碍本我，而是帮助本我最终获得快乐的满足。</w:t>
            </w:r>
          </w:p>
          <w:p w14:paraId="784058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如果人格结构中只有本我和自我，那么人类和其他动物的区别就不大了。然而，由于人格结构中超我的存在，就使得人类行为相当复杂了。</w:t>
            </w:r>
          </w:p>
          <w:p w14:paraId="177584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超我，包括两个部分，一个是良心，另一个是自我理想，是人格的道德力量，其最终形成是与俄狄浦斯情结的解决相伴随的。尽管年幼的婴儿行为几乎完全受本我控制，但是在社会生活中，他们也很快懂得需要不是立即就能满足的，他必须知道有些事情是对的，有些事情是错的，有些事情是可以做的，有些事情是不可以做的。当儿童将这些观念内化后，就发展出了超我。超我中的良心部分由儿童受惩罚的经验内化而来，之后，儿童只要参与或者只是想到参与他曾经遭受痛苦感受的活动，就会产生罪恶感。超我中的自我理想成分是由儿童受奖赏的经验内化而来。参与或者哪怕只是想到参与他曾经因之获得积极体验的活动，儿童就会产生一种自我良好的感觉。一旦超我形成，儿童的行为和思想就会受到内化价值观（通常是父母的价值观）的控制，他就社会化了。超我是遵循“至善原则”或者成为道德化的原则来指导个体行为的。</w:t>
            </w:r>
          </w:p>
          <w:p w14:paraId="0135E2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（二）心理性欲发展阶段理论</w:t>
            </w:r>
          </w:p>
          <w:p w14:paraId="7FD502B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理性欲发展阶段理论是弗洛伊德关于心理发展的主要理论。弗洛伊德认为整个躯体是性快感的源泉，在不同的发展阶段，性快感集中于躯体的不同部位。据此，弗洛伊德将儿童心理发展分为五个阶段：口唇期、肛门期、性器期、潜伏期、生殖期。</w:t>
            </w:r>
          </w:p>
          <w:p w14:paraId="52D944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口唇期（0 ～ 1 岁）</w:t>
            </w:r>
          </w:p>
          <w:p w14:paraId="74F459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口唇部位是出生后第一年儿童的性快感集中部位，儿童通过不断吮吸、咀嚼、吞咽等口唇部位动作获得愉快感。如果口唇需要没有被满足或被过度满足，都会在这一发展水平上引起固着，儿童成年后会表现出口唇期人格。固着是指那些童年时期没有得到解决的心理冲突。固着若发生在口唇阶段早期，过度满足进食要求或过度关照所致的固着会产生口唇期—依赖型人格。固着若发生在口唇阶段的晚期，那时牙齿已经开始出现，会导致口唇期—攻击型人格，这种攻击性经常是以撕咬的形式表现出来。</w:t>
            </w:r>
          </w:p>
          <w:p w14:paraId="440116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肛门期（1 ～ 3 岁）</w:t>
            </w:r>
          </w:p>
          <w:p w14:paraId="1149B9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 3 岁儿童的性兴趣集中到肛门区域。这一阶段的固着会引起肛门期人格。在肛门阶段的初期，快感主要来自排便之类的活动，这时的固着会导致成年时出现肛门—排出型性格。在肛门阶段的后期，即在大小便训练之后，快感来自能够控制大便。此时的固着容易使人成长为肛门—滞留型性格。</w:t>
            </w:r>
          </w:p>
          <w:p w14:paraId="1D7DAE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性器期（3 ～ 6 岁）</w:t>
            </w:r>
          </w:p>
          <w:p w14:paraId="31EA6C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性器期的儿童注意到两性器官上的差异，抚摸生殖器（手淫）可产生快感。此期的性感区是生殖器。性器期还指幼儿对异性的父母一方的恋爱。在弗洛伊德看来，男孩的爱情对象是自己的母亲，由于爱母便仇父。男孩对母亲的潜意识性爱称为恋母情结；女孩的爱情对象是父亲，把母亲作为多余的而置于一边，称为恋父情结。儿童希望自己取代同性父母一方，由于儿童惧怕自己的同性父母一方的惩罚，便必须压抑这种情结，而被迫与他们认同。此时，超我便产生了。继而在认同同性父母一方的过程中，形成与各自性别相符的性别角色行为及价值观和性格。</w:t>
            </w:r>
          </w:p>
          <w:p w14:paraId="23BF63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潜伏期（6 ～ 11 岁）</w:t>
            </w:r>
          </w:p>
          <w:p w14:paraId="4C1364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随着建立较强的抵御恋母情结的情感，儿童进入潜伏期。弗洛伊德认为，儿童进入潜伏期，其性的发展便呈现一种停滞的或退化的现象，儿童的性欲被移置为替代性的活动，例如学习和体育等。其性欲对象为年龄相仿的同性别者，并有排斥异性的倾向。潜伏期是一个相当平静的时期。</w:t>
            </w:r>
          </w:p>
          <w:p w14:paraId="1AE4B6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生殖期（11 或 13 岁开始）</w:t>
            </w:r>
          </w:p>
          <w:p w14:paraId="0B5153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生殖期从青春期开始贯穿一生。从年龄上讲，女孩大约从 11 岁，男孩大约从 13 岁开始进入青春期。此后，性的欲望变得强烈以至于无法彻底地被压抑，注意的焦点集中到同龄异性身上。如果前面各期发展正常，此期最终将以约会和结婚达到高潮。</w:t>
            </w:r>
          </w:p>
          <w:p w14:paraId="2CEA85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二、埃里克森的心理社会性发展理论</w:t>
            </w:r>
          </w:p>
          <w:p w14:paraId="0CDCC2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埃里克森（E. H. Erikson，1902—1994）是美籍德裔儿童精神分析医生，也是美国著名的发展心理学家和精神分析学家，师从弗洛伊德的女儿安娜·弗洛伊德，于 1950 年在《儿童与社会》著作中提出了著名的心理社会性发展理论。</w:t>
            </w:r>
          </w:p>
          <w:p w14:paraId="55B3D7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（一）基本信任对基本不信任（0 ～ 1.5 岁）</w:t>
            </w:r>
          </w:p>
          <w:p w14:paraId="36475A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这个阶段的儿童对成人依赖性最大，如果照顾他的成年人尤其是母亲能满足他的需要，使儿童感到舒适、安全，儿童就会形成基本信任感。如果母亲的爱抚和照料有缺陷，婴儿将产生不信任感。</w:t>
            </w:r>
          </w:p>
          <w:p w14:paraId="2B9E92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不信任的基本态度可能导致儿童以后发展中的不安全感、猜疑和与他人建立关系时的困难。埃里克森认为一定比率的不信任感有利于儿童躲避危险，但是信任感应当超过不信任感，该阶段的危机才会顺利度过。如果成功解决了本阶段的发展危机，儿童的人格中便形成了希望的品质，这种儿童敢于冒险，不怕挫折和失败，容易成为易于信赖和满足的人。如果危机不能成功解决，儿童的人格中便形成了恐惧的特质，这种儿童胆小懦弱，易成为不信任他人、苛刻无度的人。</w:t>
            </w:r>
          </w:p>
          <w:p w14:paraId="04D3DF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（二）自主对羞耻、怀疑（1.5 ～ 3 岁）</w:t>
            </w:r>
          </w:p>
          <w:p w14:paraId="687776B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这一阶段，儿童自控能力增强，表现出爬行、触摸、探索和自己动手的愿望。自主性意味着个人能按自己的意愿行事的能力。此时的儿童能控制自己的大小便，反复使用“我”“我的”等字眼，凡事想亲力亲为，表现出强烈自主的意愿。但儿童在笨手笨脚的尝试中经常会出现各种意外，如把水洒一地、把饭弄一身、跌跤、尿床等。如果父母此时嘲笑孩子或一切包办代替，对孩子过度保护，会使孩子怀疑自己的能力，对自己的行为感到羞耻。因此，明智的父母可以通过鼓励孩子尝试新本领来培养孩子自主的意识，以开放的心态对待孩子，必要的时候给予适当的指导，给孩子做好榜样和示范。</w:t>
            </w:r>
          </w:p>
          <w:p w14:paraId="5FEFAE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本阶段危机如能成功解决，将会在儿童的人格中形成意志品质。埃里克森认为，所谓意志就是进行自由选择和自我抑制的不屈不挠的决心。如果不能成功解决危机，则形成自我怀疑的人格特征。顺利度过本阶段，对于个人今后对社会组织和社会理想的态度将产生重要的影响，有利于个人为未来的秩序和法治生活做好准备。</w:t>
            </w:r>
          </w:p>
          <w:p w14:paraId="2B9129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（三）主动对内疚（3 ～ 6 岁）</w:t>
            </w:r>
          </w:p>
          <w:p w14:paraId="7041FD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这一阶段的儿童不只是简单的自控，他们开始表现出主动精神（如用彩笔在墙上画）。</w:t>
            </w:r>
          </w:p>
          <w:p w14:paraId="2ED765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过做游戏，儿童学习制订计划和执行任务。如果父母让孩子自由地做游戏、提问、运用想象和选择活动，就可以强化儿童的主动性，这为他将来成为一个有责任感、有创造力的人奠定了基础。如果父母总是严厉地批评孩子，不让他们玩游戏，不鼓励他们提问，会让孩子认为积极主动地参与活动是件错事，因而产生内疚感，倾向于生活在别人为他们安排好的狭隘的圈子里。</w:t>
            </w:r>
          </w:p>
          <w:p w14:paraId="17E0CA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埃里克森认为，顺利度过前两个阶段的儿童已认识到自己是人，在这一阶段中，他们面临的问题是他们能成为什么样的人。在这个阶段，儿童检验了各种各样的限制，以便找到哪些属于许可的范围，而哪些又是不许可的。为了帮助儿童顺利度过该阶段的危机，父母一方面要鼓励儿童创造性地进行游戏活动，发展他们的主动性和目的性，另一方面要培养儿童的规则意识，逐步使其明确是非善恶，将儿童的内疚感转化为良好的道德情感。如果儿童在这个阶段获得的自主性胜过内疚，就会形成目的的美德。</w:t>
            </w:r>
          </w:p>
          <w:p w14:paraId="54B600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（四）勤奋对自卑（6 ～ 12 岁）</w:t>
            </w:r>
          </w:p>
          <w:p w14:paraId="46F4D9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本阶段中，儿童进入学校，学习文化知识和基本技能。学习的成败会影响他们对能力的自信。如果在学习过程中，儿童因为自己富有成效的活动而得到赞扬，他们就会形成勤奋的倾向。如果儿童的努力总是被斥为添乱、幼稚和做得不到位，他们就会形成自卑的倾向。因此，勤奋感对自卑感便构成了本阶段的发展危机。从这一阶段开始，对孩子的自我态度形成起作用的不仅仅是父母，教师、同学和家庭以外的成人也会起同等重要的作用。</w:t>
            </w:r>
          </w:p>
          <w:p w14:paraId="0D4E55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如果儿童获得的勤奋感胜过自卑感，他们就会以能力的美德离开这个阶段。埃里克森认为“能力……是不为儿童期自卑感所损害的在完成任务中运用自如的聪明才智”。</w:t>
            </w:r>
          </w:p>
          <w:p w14:paraId="39625B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像以上论述过的其他美德一样，能力是由于爱的关注与鼓励而形成的，自卑感是由于儿童生活中十分重要的人物对他的嘲笑或漠不关心造成的。</w:t>
            </w:r>
          </w:p>
          <w:p w14:paraId="63D4C1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（五）角色认同对角色混乱（12 ～ 18 岁）</w:t>
            </w:r>
          </w:p>
          <w:p w14:paraId="69C711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少年时期通常是一个不安定的时期。青少年处在童年和成年之间，面临一些独特的问题。埃里克森认为，这个阶段的主要任务是要回答一个问题：“我是谁？”心理和身体的成熟给青少年带来了新的感觉，新的躯体和新的态度。青少年必须根据自己的各种自我知觉、生活经历、文化环境和人际关系，来建立统一的角色认同感，即把自己所扮演的学生、运动员、工人、儿子（或女儿）、朋友、恋人等不同角色在自我感觉上整合起来，形成统一的自我。无法形成这种角色认同的人会陷入角色混乱的痛苦中，因为他们无法确定自己是谁，不知道该何去何从。</w:t>
            </w:r>
          </w:p>
          <w:p w14:paraId="6BF8B8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果青年人在这个阶段中获得了积极的角色认同而不是角色混乱或消极的角色认同（获得一定的社会文化所不予认同的、令人反感的角色）时，他们就会形成忠诚的美德，即尽管会遇到不可避免的矛盾，但也会忠于自己的内心誓言。这样，青少年最终能忠诚地献身于社会和职业。</w:t>
            </w:r>
          </w:p>
          <w:p w14:paraId="0700B9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（六）亲近感对孤立感（18 ～ 25 岁）</w:t>
            </w:r>
          </w:p>
          <w:p w14:paraId="53A7E7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成年早期的主要冲突是亲近感对孤立感，在这个阶段中，个体感到自己在生活中有亲近他人的需要。确立了稳定的角色认同后，一个人便会准备与他人分享生活中的爱或深厚的友谊。埃里克森认为亲近感是一种关心他人并与他们同甘共苦的能力。婚姻或性关系并不一定说明关系亲密，很多成年人之间的婚姻关系只是表面的和有名无实的。一个人如果无法与他人建立亲密关系，会陷入深深的孤立感，即感到孤独和被遗忘。</w:t>
            </w:r>
          </w:p>
          <w:p w14:paraId="71156B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青年如果能成功解决本阶段的发展危机，那么就会形成爱的品质；如果青年不能成功解决本阶段的发展危机，就会导致乱婚。</w:t>
            </w:r>
          </w:p>
          <w:p w14:paraId="0AD090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i w:val="0"/>
                <w:iCs w:val="0"/>
                <w:color w:val="000000"/>
                <w:kern w:val="2"/>
                <w:sz w:val="21"/>
                <w:szCs w:val="21"/>
                <w:lang w:val="en-US" w:eastAsia="zh-CN" w:bidi="ar"/>
              </w:rPr>
            </w:pPr>
            <w:r>
              <w:rPr>
                <w:rFonts w:hint="default" w:ascii="宋体" w:hAnsi="宋体" w:eastAsia="宋体" w:cs="宋体"/>
                <w:b/>
                <w:bCs w:val="0"/>
                <w:i w:val="0"/>
                <w:iCs w:val="0"/>
                <w:color w:val="000000"/>
                <w:kern w:val="2"/>
                <w:sz w:val="21"/>
                <w:szCs w:val="21"/>
                <w:lang w:val="en-US" w:eastAsia="zh-CN" w:bidi="ar"/>
              </w:rPr>
              <w:t>（七）繁殖对停滞（25 ～ 65 岁）</w:t>
            </w:r>
          </w:p>
          <w:p w14:paraId="205E40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本阶段中，个体已经建立家庭，他们的兴趣开始扩展到下一代，而且他们也非常关心各自在工作和生活中的状态。在埃里克森看来，他们进入了繁殖对停滞的时期。此时，相应的发展任务便是：获得繁殖感，避免停滞感，体验关怀的实现。这里的“繁殖”是一个意义相当广泛的词，不仅指生儿育女、关怀、照料下一代，还指创造新事物和产生新思想。埃里克森更侧重于后者。有的人即使没有孩子，但是他们在其专业领域充分发挥自己的智慧和力量，最终有所作为，也能获得繁殖感。</w:t>
            </w:r>
          </w:p>
          <w:p w14:paraId="3125DB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旦一个人的繁殖感比停滞感高，那么这个人会以关心的美德离开这个阶段。他们能够放眼社会，关心他人的幸福，并愿意为此贡献自己的力量。无法做到的人将处于一种只关心自己的需求和舒适的自我的专注状态，从而使生活失去意义，郁郁寡欢。</w:t>
            </w:r>
          </w:p>
          <w:p w14:paraId="412F2A2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（八）自我完善对悲观失望（65 岁以后）</w:t>
            </w:r>
          </w:p>
          <w:p w14:paraId="32ED23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这是人生的最后阶段，是人们反省的时期。如果前面七个阶段积极的成分多于消极的成分，就会在老年期汇集成完美感，回顾一生觉得这一辈子过得很有价值，生活得很有意义。相反，如果消极成分多于积极成分，就会产生失望感，感到自己的一生失去了许多机会，走错了方向，想要重新开始又感到为时已晚，痛不胜痛，于是产生了一种绝望的感觉，精神萎靡不振，马马虎虎混日子。</w:t>
            </w:r>
          </w:p>
          <w:p w14:paraId="77FA4FB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如果个人获得的自我完善胜过失望，那他或她就以智慧的美德为一生的特征，可以以超然的态度来面对死亡。</w:t>
            </w:r>
          </w:p>
          <w:p w14:paraId="724A679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B2011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精神分析学派的心理发展理论的基本理论知</w:t>
            </w:r>
            <w:r>
              <w:rPr>
                <w:rFonts w:hint="eastAsia" w:ascii="Times New Roman" w:hAnsi="Times New Roman"/>
                <w:b/>
                <w:szCs w:val="24"/>
              </w:rPr>
              <w:t>识。</w:t>
            </w:r>
          </w:p>
        </w:tc>
      </w:tr>
      <w:tr w14:paraId="4FB7C4BD">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7EE99D2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3B9F79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6BBB14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C8617D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精神分析学派的心理发展理论，让学生知道如果消极成分多于积极成分，就会产生失望感，感到自己的一生失去了许多机会</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A01885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963499C">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6DDF225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74CCC1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54B64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简述人格结构理论。</w:t>
            </w:r>
          </w:p>
        </w:tc>
        <w:tc>
          <w:tcPr>
            <w:tcW w:w="1366" w:type="dxa"/>
            <w:tcBorders>
              <w:tl2br w:val="nil"/>
              <w:tr2bl w:val="nil"/>
            </w:tcBorders>
            <w:vAlign w:val="center"/>
          </w:tcPr>
          <w:p w14:paraId="2CD4410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E8BD207">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9E9EA4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EE41EAC">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159D2B4">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展示行为主义学派的心理发展理论</w:t>
            </w:r>
          </w:p>
          <w:p w14:paraId="6076B69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一、华生的心理发展思想</w:t>
            </w:r>
          </w:p>
          <w:p w14:paraId="4BACE3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行为主义的创立人 J. B. 华生于 1878 年 1 月出生在美国加利福尼亚州，25 岁时获得博士学位，1908 年首次公开阐明了他的行为主义观点，1913 年在《心理学评论》上发表题为《行为主义者心目中的心理学》一文，正式宣告行为主义的诞生。1915 年被选为美国心理学会主席，1958 年去世。</w:t>
            </w:r>
          </w:p>
          <w:p w14:paraId="7616F7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（一）遗传与环境在儿童心理发展中的作用</w:t>
            </w:r>
          </w:p>
          <w:p w14:paraId="19DBC98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对于遗传和环境在儿童心理发展中所起的作用，华生非常看重环境的作用，认为环境可以激发行为，忽视甚至否认遗传的作用。他坚信通过对构成环境的刺激进行仔细研究，就可以获得关于发展的全面理解。他认为是经验而不是遗传使人成为什么样的人，人类的行为都是后天习得的，环境决定了一个人的行为模式，无论是正常的行为还是病态的行为都是经过学习而获得的，也可以通过学习而更改、增加或消除。他曾说：“给我一打健康而又没有缺陷的婴儿，把他们放在我所设计的特殊环境里培养，我可以担保，我能够把他们中间的任何一个人训练成我所选择的任何一类专家——医生、律师、艺术家、商界首领，甚至是乞丐或窃贼，而无论他的才能、爱好、倾向、能力，或他祖先的职业和种族是什么。”可见，华生相信，只要有效地控制个体所处的环境，就有可能塑造出任何行为。华生认为心理学不需要“本能”这个术语，因为被人们习惯称为本能的一切主要是训练的结果，属于人类的习得行为。尽管华生也承认人有与生俱来的构造上的差异，但是他同时声明构造上的遗传并不能证明机能上的遗传。总之，华生基本否认了遗传在儿童心理发展中的作用，被认为是环境决定论的代表人物。</w:t>
            </w:r>
          </w:p>
          <w:p w14:paraId="460E26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（二）经典条件反射与儿童情绪、语言的发展</w:t>
            </w:r>
          </w:p>
          <w:p w14:paraId="13FB26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华生在其基本心理发展思想指导之下，重点研究了儿童的情绪发展。华生认为情绪反应是习得的，可以通过经典条件反射的形式形成。经典条件反射是俄国生理学家巴甫洛夫最先提出的。他通过多次将中性刺激物如铃声与无条件刺激物如食物的反复结合，使得狗学会一听到铃声就开始分泌唾液，中性刺激物代替了无条件刺激物食物，经典条件反射形成。华生将经典条件反射引进了心理学，对儿童的情绪反应进行了研究。结果发现，儿童的情绪反应如恐惧等是习得的，可以通过经典条件作用形成，而并不是像精神分析学派所主张的，恐惧等消极情绪对成人个体的困扰，来自于他早期经验中关于性的负性体验。</w:t>
            </w:r>
          </w:p>
          <w:p w14:paraId="6737F2A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关于儿童的语言发展，华生依然受巴甫洛夫经典条件反射学说的影响，用“刺激—反应—强化”过程来说明。例如，母亲教孩子学说话时，指着家中的宠物狗说“这是咱家的小狗，狗，狗，宝贝说‘狗，狗’”（提供刺激），当儿童也跟着模仿说“狗，狗”（做出反应）时，母亲立刻露出笑容，并且亲了他，还夸奖说：“宝宝真聪明（强化）”。以后儿童就会乐于模仿母亲说话，他的词汇量也会越来越大。也就是说，当儿童对一个刺激做出反应，并受到奖赏时，他倾向于重复这种行为。</w:t>
            </w:r>
          </w:p>
          <w:p w14:paraId="0C4641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二、斯金纳的心理发展理论</w:t>
            </w:r>
          </w:p>
          <w:p w14:paraId="37FC93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美国新行为主义的代表人物斯金纳生于 1904 年，中学时代的他擅长文学，而拙于科学，1928 年注册进入哈佛大学学习心理学研究生课程，于 1931 年获得了博士学位，1974 年成为哈佛大学名誉教授，1990 年获得美国心理学会首次颁发的终生贡献奖。而在获嘉奖之后的八天，心理学一代宗师斯金纳因白血病逝世。</w:t>
            </w:r>
          </w:p>
          <w:p w14:paraId="0FEA4B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（一）操作性条件反射与儿童行为的塑造</w:t>
            </w:r>
          </w:p>
          <w:p w14:paraId="4679D2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对于儿童心理的发展问题，斯金纳同华生一样强调环境的作用，但他强调环境对儿童行为的选择作用。斯金纳将人类的行为划分为应答性行为和操作性行为，认为应答性行为只是人类行为的一小部分，通过经典条件作用形成，这类行为是被动的、由已知刺激引发的；而人类的大部分行为都是操作性行为，是主动的、有目的的，受行为结果的控制，通过操作条件作用形成。</w:t>
            </w:r>
          </w:p>
          <w:p w14:paraId="00A11E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斯金纳认为可以通过操作条件作用来对儿童的行为进行塑造，形成儿童的适应行为，消除儿童的不适应行为。例如，一个婴儿刚开始学说话时，当他想要他最喜欢的娃娃时，他发出的声音有时是“哇”，有时是“嗒”，有时是“嘟”，最初他交替使用这三个词。</w:t>
            </w:r>
          </w:p>
          <w:p w14:paraId="4B3BF1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为了加快他的学习，父母只在他正确说出“哇”时才把娃娃给他，过了 20 天，婴儿完全学会说“哇”了。再如为了教一个最初不懂礼貌的 6 岁幼儿学说“请”“谢谢”和“对不起”，对他的行为进行观察并加以塑造。最初，该幼儿看见自己喜欢的东西就去抢，根本不说“请”字，如果得不到就会生气。塑造过程中，当他说了“请”字，就用三种方式进行奖赏：①让他得到想要的东西；②给他糖或爆米花等他喜欢的食品；③对他的文明行为给予表扬。后来，他每次想要什么东西的时候，大多会礼貌地先说“请”字。可见，儿童行为塑造成功的关键是伴随行为反应发生的强化。</w:t>
            </w:r>
          </w:p>
          <w:p w14:paraId="33EB93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（二）强化的类型与原则</w:t>
            </w:r>
          </w:p>
          <w:p w14:paraId="2384CB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强化可以说是斯金纳心理发展理论的核心概念，是指增强有机体某种反应重复发生可能性的任何事件。根据行为伴随物的性质，强化可以分为正强化和负强化。</w:t>
            </w:r>
          </w:p>
          <w:p w14:paraId="26D076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正强化是指一个反应发生之后出现一个愉快的结果，以增加这一反应再次发生的可能性。如当婴儿偶尔发出“妈妈”的声音时，妈妈便亲吻、拥抱婴儿，婴儿再次发出“妈妈”的声音的可能性提高，一段时间后，便学会叫“妈妈”。负强化是一个反应发生之后可消除一个不愉快的事情，以增加这一反应再次发生的可能性。如一个 4 岁的幼儿感冒发烧头疼，在妈妈的帮助下服用了小儿感冒药，服药后头疼等症状消失，再次感冒时，该幼儿服用感冒药的可能性增加。现实生活中正强化和负强化经常结合在一起。例如，当儿童需要吃饭时，食品的美味可以强化他吃东西的行为（正强化），消除饥饿感也可以强化他吃东西的行为（负强化）。斯金纳一直主张应该通过强化而不是惩罚来矫正行为，因为惩罚的目的是降低反应再次发生的可能性，而这种目的却很难实现，还会带来消极的副产品如恐惧减轻、攻击增加、使一种不良反应代替另一种不良反应，如一个儿童因做错事被打屁股而哭叫。</w:t>
            </w:r>
          </w:p>
          <w:p w14:paraId="0FF4EB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对于人类而言，有效的操作性强化物是多样的，可以分为一级强化物、二级强化物和反馈。一级强化物是自然形成的和非习得性的，具有生理基础，能产生舒适感和消除不适感，或能够满足即时的生理需要。如食物、水和性需要的满足都是一级强化物。一级强化物的作用是有限的，因为人或动物的基本需要很快就会得到满足。二级强化物包括金钱、赞扬、注意、赞同、成功、情感、成绩以及其他的奖赏。一些二级强化物可以与一级强化物建立联系，一些二级强化物具有代币物的功能，可用以交换一级强化物，一些二级强化物如注意与赞扬可以满足人类习得的需要。反馈指关于反应结果的信息，它对于人类的学习非常重要。斯金纳根据操作性学习和反馈的原理提出了程序教学理论，并设计了程序教学机，从而为儿童节省了大量的时间和精力。</w:t>
            </w:r>
          </w:p>
          <w:p w14:paraId="232669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儿童心理发展中，欲使强化达到最佳效果，必须遵循下列原则：在儿童学习新的行为时，应该遵循即时强化原则。如果要培养儿童良好的行为习惯，就要在看到他们帮助别人和有礼貌后立即给予奖赏。即时反馈有两个作用，①使行为和后果之间的联系更加明确；②增加了反馈的信息价值。在儿童行为习得的早期阶段，要遵循针对性强化原则，要有针对性的强化每一个正确的反应。如果儿童的礼貌行为有的得到强化，有的得不到强化，他们则不会很快形成礼貌待人的行为；对那些复杂的行为模式的塑造，要遵循渐进式接近强化原则，即对那些正在接近目标行为的各种过渡反应进行强化。无论是培养儿童整洁的习惯，还是让他们学习更多的知识，坚持锻炼身体，都要帮助他们每天设立一个小目标，并对他们的每一个进步进行强化，这样，儿童就能够健康快乐地成长。</w:t>
            </w:r>
          </w:p>
          <w:p w14:paraId="11A706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三、班杜拉的心理发展观</w:t>
            </w:r>
          </w:p>
          <w:p w14:paraId="24E90F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班杜拉，1925 年生于加拿大，当代最著名的美国心理学家之一，现代社会学习理论的奠基人。1974 年班杜拉担任美国心理学会会长，1980 年获得美国心理学会“杰出科学贡献奖”。班杜拉的社会学习理论是对传统行为主义的继承和批判，他以三元交互决定论为基础，提出观察学习对儿童心理发展的重要性。</w:t>
            </w:r>
          </w:p>
          <w:p w14:paraId="6E8761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（一）三元交互决定论</w:t>
            </w:r>
          </w:p>
          <w:p w14:paraId="124FD6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班杜拉反对传统行为主义者的环境决定论观点，认为人的行为（BEHAVIOR）不是由环境（ENVIRONMENT）单一因素决定的，个人（PERSON）自身因素包括期待、信念、目标、意向、情绪等主体因素同样影响人的行为。人的行为反过来也会影响环境及个人的思想信念、情感反应等。因此，个人、环境与行为三种因素是交互决定的，共同起作用。所以将该理论称为三元交互决定论。</w:t>
            </w:r>
          </w:p>
          <w:p w14:paraId="420A8D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三元交互决定论中，行为是由个人因素及外在环境决定的，同时，人的行为也会影响和改造环境，行为的结果也会使个人的内在品质发生改变，个人的内在因素与环境也是交互影响的。班杜拉的三元交互决定论摆脱了传统行为主义的机械决定观，在肯定环境对人的发展的作用的同时，也重视主体自身因素的作用，可以说是一种较为辩证的、完善的行为发展观。</w:t>
            </w:r>
          </w:p>
          <w:p w14:paraId="24566EE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（二）观察学习</w:t>
            </w:r>
          </w:p>
          <w:p w14:paraId="75356B1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了具体说明人的思想和行为怎样受环境的影响，班杜拉提出了观察学习理论。所谓观察学习，是指人们通过观察他人的行为及行为的后果而间接进行的学习。由于观察学习理论主要关注的是个体社会行为的习得和个体社会化的历程，因此，这一理论又称为社会学习理论。</w:t>
            </w:r>
          </w:p>
          <w:p w14:paraId="4F5BBE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观察学习的经典实验</w:t>
            </w:r>
          </w:p>
          <w:p w14:paraId="3D5CDD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班杜拉的观察学习理论是建立在大量实验研究基础之上的。在早期的一项研究中，他们首先让儿童观察成人榜样对一个充气娃娃拳打脚踢，然后把儿童带到一个放有充气娃娃的实验室，让其自由活动，并观察他们的行为表现。结果发现，儿童在实验室里也会对充气娃娃拳打脚踢。这说明，成人榜样对儿童行为有明显影响，儿童可以通过观察成人榜样的行为而习得新行为。</w:t>
            </w:r>
          </w:p>
          <w:p w14:paraId="369B8E3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稍后的另一项实验中，他们对上述研究做了进一步的延伸，目的是要了解两个问题：①榜样攻击行为的奖惩后果是否影响儿童攻击行为的表现；②儿童是否能不管榜样攻击行为的奖惩后果而习得攻击行为。在实验中，把儿童分为三组，首先让儿童看到电影中的成年男子的攻击行为。在影片结束后，第一组儿童看到成人榜样被表扬；第二组儿童看到成人榜样受批评；第三组儿童看到成人榜样的行为既不受奖也不受罚。然后，把三组儿童都带到一间游戏室，里面有成人榜样攻击过的对象。结果发现，榜样受奖组儿童的攻击行为最多，榜样受罚组儿童的攻击行为最少，控制组居中。这说明，榜样攻击行为所导致的后果是儿童是否自发模仿这种行为的决定因素。</w:t>
            </w:r>
          </w:p>
          <w:p w14:paraId="5CE294B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但这是否意味着榜样受奖组的儿童比榜样受罚组的儿童习得了更多的攻击行为呢？为了回答这个问题，他们在上述三组儿童看完电影回到游戏室时，以提供糖果作为奖励，要求儿童尽可能地回忆榜样行为并付诸行动。结果发现，三组儿童的攻击行为水平几乎一致。这说明，榜样行为所导致的后果只是影响儿童攻击行为的表现，而对攻击行为的学习几乎没有影响。</w:t>
            </w:r>
          </w:p>
          <w:p w14:paraId="190C38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观察学习的基本过程</w:t>
            </w:r>
          </w:p>
          <w:p w14:paraId="0ADBBD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在大量实验的基础上，班杜拉将观察学习划分成注意、保持、动作再现和动机四个子过程。</w:t>
            </w:r>
          </w:p>
          <w:p w14:paraId="4F4292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注意过程。注意过程是指学习者对被观察的对象的特征有选择地观察。注意是观察学习发生的前提条件。通过注意过程，儿童能够在众多的榜样及榜样的行为中选择自己感兴趣的行为进行观察，选择的过程受到榜样本身的特征及观察者自身特点的影响。例如，同样是上篮动作，姚明比普通人的动作更容易成为观察者注意的对象。观察者的年龄、爱好、能力等也影响到选择性注意的效果。</w:t>
            </w:r>
          </w:p>
          <w:p w14:paraId="603EE7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保持过程。观察者将观察到的行为以表象或语言的形式保存在头脑中的过程就是保持过程。这是对观察到的榜样行为进行进一步加工的过程。通过保持过程，观察者将榜样行为信息内化到自己的经验系统中。班杜拉认为，可以通过认知复述和动作演练两种形式促进保持。认知复述与心理练习同义，指在思想上想象动作的正确执行步骤，而不必进行实际的动作演练。现实生活中我们发现，同样的观察学习，如对幼儿体操的观察学习，幼儿的学习效果却有较大的差异。这主要是保持效果不同造成的。班杜拉的实验表明，“将被示范的活动转化为简明的言语编码或逼真的表象的观察者与那些仅简单观察或观察时心不在焉的观察者相比，能更好地保持行为”。</w:t>
            </w:r>
          </w:p>
          <w:p w14:paraId="3F05B0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动作再现过程。在观察、保持了榜样行为之后，儿童接下来就需要把头脑中保持的信息转化为具体的行为，在现实生活或游戏中表现出来。为了能更好地再现学习到的行为，需要儿童具备一定的运动技能，这依赖于儿童的成熟和不断的练习。在大多数日常学习中，儿童通常是通过榜样作用大致掌握新的行为，然后根据自我矫正的调整，才逐渐熟练掌握这种技能。</w:t>
            </w:r>
          </w:p>
          <w:p w14:paraId="0CC63C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动机过程。儿童即使已经掌握了某种行为，他一般也不会把该行为立刻表现出来，而是还要观察他人做出同样的行为后得到了什么结果。如果得到了奖励，儿童就倾向于表现出该行为；如果受到惩罚，儿童就不表现出该行为。这种他人所接受的强化对学习者本人的影响称为替代强化。除了替代强化外，儿童还可以对自己进行强化，比方说小明将自己的彩笔借给小龙用，对自己的助人行为非常满意，心里还夸奖了自己一番，这种由儿童自己对自己进行的强化，叫自我强化。替代强化和自我强化对儿童是否表现出习得的行为具有重要的动机作用。</w:t>
            </w:r>
          </w:p>
          <w:p w14:paraId="4C3478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观察学习与儿童的社会化行为</w:t>
            </w:r>
          </w:p>
          <w:p w14:paraId="2C937B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社会化是儿童由一个自然人成长为社会人的过程。班杜拉认为，儿童期的社会化主要是通过观察学习进行的。</w:t>
            </w:r>
          </w:p>
          <w:p w14:paraId="510CA5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性别同一性。对自己是男性还是女性的知觉是儿童社会化的主要内容。到两岁时，儿童一致地给自己和周围的人贴上男性或女性的标签。性别差异在学前儿童身上已经明显地表现出来，如游戏种类的不同，男孩更长时间地进行打闹游戏，女孩更愿意参加有组织的游戏和角色扮演，并且都表现出玩耍时的同性偏好现象。对此，班杜拉的观察学习理论认为儿童是通过观察他人来学习与性别相关的行为和预期的。儿童观察父母、教师、兄弟姐妹，甚至是同伴的行为，通过对他人因性别适宜的行为而获得奖励的观察，儿童表现出类似的和自己性别相适应的行为。另外，书籍和媒体，尤其是电视和视频游戏，也在儿童的性别同一性中起着作用，儿童可能会模仿其中人物的性别角色行为。</w:t>
            </w:r>
          </w:p>
          <w:p w14:paraId="6A0940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攻击行为。儿童的攻击行为是一种社会行为，其性质依具体情境而定。班杜拉对儿童的攻击行为进行了长期深入的研究，前述经典实验表明儿童的攻击行为是观察学习的结果。班杜拉的研究表明，家庭成员尤其是父母往往是儿童攻击行为的榜样。当父母采取暴力手段解决问题时，儿童也倾向于采用同样的方法来处理自己生活中遇到的问题。另外，社会环境也会影响儿童的攻击行为，生活在高犯罪率地区的儿童比那些生活在低犯罪率地区的儿童更有可能实施暴力行为。另外，大众传媒对儿童的攻击行为也产生影响。当然，儿童自身的特点也会对他习得与表现攻击行为产生影响。</w:t>
            </w:r>
          </w:p>
          <w:p w14:paraId="690C6F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3）亲社会行为。亲社会行为具体是指分享、合作、帮助等利他行为。班杜拉认为，采用训练、斥责等方法对儿童的亲社会行为几乎没有效果。强制命令或许能一时奏效，但效果难以持久。只有正面的榜样示范才对促进儿童亲社会行为的习得和表现有持久且有力的作用。</w:t>
            </w:r>
          </w:p>
          <w:p w14:paraId="35934D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87AF7A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行为主义学派的心理发展理论的基本理论知</w:t>
            </w:r>
            <w:r>
              <w:rPr>
                <w:rFonts w:hint="eastAsia" w:ascii="Times New Roman" w:hAnsi="Times New Roman"/>
                <w:b/>
                <w:szCs w:val="24"/>
              </w:rPr>
              <w:t>识。</w:t>
            </w:r>
          </w:p>
        </w:tc>
      </w:tr>
      <w:tr w14:paraId="5FB92439">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5BD6A9D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B01B6A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01ACFF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EF8FE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行为主义学派的心理发展理论，让学生知道社会化是儿童由一个自然人成长为社会人的过程。</w:t>
            </w:r>
          </w:p>
        </w:tc>
        <w:tc>
          <w:tcPr>
            <w:tcW w:w="1366" w:type="dxa"/>
            <w:tcBorders>
              <w:tl2br w:val="nil"/>
              <w:tr2bl w:val="nil"/>
            </w:tcBorders>
            <w:vAlign w:val="center"/>
          </w:tcPr>
          <w:p w14:paraId="0DA83D4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3C7B994">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2114396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05B860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24FB51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简述班杜拉的心理发展观。</w:t>
            </w:r>
          </w:p>
        </w:tc>
        <w:tc>
          <w:tcPr>
            <w:tcW w:w="1366" w:type="dxa"/>
            <w:tcBorders>
              <w:tl2br w:val="nil"/>
              <w:tr2bl w:val="nil"/>
            </w:tcBorders>
            <w:vAlign w:val="center"/>
          </w:tcPr>
          <w:p w14:paraId="58699BF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5B1DE4E">
        <w:tblPrEx>
          <w:tblBorders>
            <w:top w:val="double" w:color="BE8F00" w:themeColor="accent4" w:themeShade="BF" w:sz="4" w:space="0"/>
            <w:left w:val="double" w:color="BE8F00" w:themeColor="accent4" w:themeShade="BF" w:sz="4" w:space="0"/>
            <w:bottom w:val="double" w:color="BE8F00" w:themeColor="accent4" w:themeShade="BF" w:sz="4" w:space="0"/>
            <w:right w:val="double" w:color="BE8F00" w:themeColor="accent4" w:themeShade="BF" w:sz="4" w:space="0"/>
            <w:insideH w:val="single" w:color="BE8F00" w:themeColor="accent4" w:themeShade="BF" w:sz="4" w:space="0"/>
            <w:insideV w:val="single" w:color="BE8F00" w:themeColor="accent4" w:themeShade="BF"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EF2CC" w:themeFill="accent4" w:themeFillTint="32"/>
            <w:vAlign w:val="center"/>
          </w:tcPr>
          <w:p w14:paraId="34B0A1A9">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0083A67">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总结了一个原则，就是“善于总结、学会欣赏、正视不足、修补遗憾”，并在教学中始终不渝的地贯彻它。</w:t>
            </w:r>
          </w:p>
        </w:tc>
      </w:tr>
    </w:tbl>
    <w:p w14:paraId="1C35E6AA"/>
    <w:sectPr>
      <w:pgSz w:w="11906" w:h="16838"/>
      <w:pgMar w:top="283" w:right="170" w:bottom="283" w:left="170" w:header="0" w:footer="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华文行楷">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7C402">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33E3F">
    <w:pPr>
      <w:pStyle w:val="7"/>
      <w:rPr>
        <w:rFonts w:hint="eastAsia" w:eastAsia="宋体"/>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36123">
    <w:pPr>
      <w:pStyle w:val="8"/>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7CEDF">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-111760</wp:posOffset>
          </wp:positionH>
          <wp:positionV relativeFrom="paragraph">
            <wp:posOffset>11430</wp:posOffset>
          </wp:positionV>
          <wp:extent cx="7559040" cy="10692130"/>
          <wp:effectExtent l="0" t="0" r="3810" b="13970"/>
          <wp:wrapNone/>
          <wp:docPr id="9" name="图片 9" descr="C:/Users/xiaoyu/Desktop/工作文件/教案模板素材/素材/学前背景2.jpg学前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xiaoyu/Desktop/工作文件/教案模板素材/素材/学前背景2.jpg学前背景2"/>
                  <pic:cNvPicPr>
                    <a:picLocks noChangeAspect="1"/>
                  </pic:cNvPicPr>
                </pic:nvPicPr>
                <pic:blipFill>
                  <a:blip r:embed="rId1"/>
                  <a:srcRect/>
                  <a:stretch>
                    <a:fillRect/>
                  </a:stretch>
                </pic:blipFill>
                <pic:spPr>
                  <a:xfrm>
                    <a:off x="0" y="0"/>
                    <a:ext cx="7559040" cy="1069213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54283">
    <w:pPr>
      <w:pStyle w:val="8"/>
      <w:pBdr>
        <w:bottom w:val="none" w:color="auto" w:sz="0" w:space="1"/>
      </w:pBdr>
    </w:pPr>
    <w:r>
      <w:rPr>
        <w:sz w:val="18"/>
      </w:rPr>
      <mc:AlternateContent>
        <mc:Choice Requires="wpg">
          <w:drawing>
            <wp:anchor distT="0" distB="0" distL="114300" distR="114300" simplePos="0" relativeHeight="251660288" behindDoc="1" locked="0" layoutInCell="1" allowOverlap="1">
              <wp:simplePos x="0" y="0"/>
              <wp:positionH relativeFrom="column">
                <wp:posOffset>-107950</wp:posOffset>
              </wp:positionH>
              <wp:positionV relativeFrom="paragraph">
                <wp:posOffset>0</wp:posOffset>
              </wp:positionV>
              <wp:extent cx="7560310" cy="10692130"/>
              <wp:effectExtent l="0" t="0" r="2540" b="13970"/>
              <wp:wrapNone/>
              <wp:docPr id="13" name="组合 13"/>
              <wp:cNvGraphicFramePr/>
              <a:graphic xmlns:a="http://schemas.openxmlformats.org/drawingml/2006/main">
                <a:graphicData uri="http://schemas.microsoft.com/office/word/2010/wordprocessingGroup">
                  <wpg:wgp>
                    <wpg:cNvGrpSpPr/>
                    <wpg:grpSpPr>
                      <a:xfrm>
                        <a:off x="0" y="0"/>
                        <a:ext cx="7560310" cy="10692130"/>
                        <a:chOff x="10793" y="17404"/>
                        <a:chExt cx="11906" cy="16838"/>
                      </a:xfrm>
                    </wpg:grpSpPr>
                    <wps:wsp>
                      <wps:cNvPr id="8" name="矩形 8"/>
                      <wps:cNvSpPr/>
                      <wps:spPr>
                        <a:xfrm>
                          <a:off x="10793" y="17404"/>
                          <a:ext cx="11906" cy="16838"/>
                        </a:xfrm>
                        <a:prstGeom prst="rect">
                          <a:avLst/>
                        </a:prstGeom>
                        <a:solidFill>
                          <a:srgbClr val="EEDF7F">
                            <a:alpha val="60000"/>
                          </a:srgb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1"/>
                      <wps:cNvSpPr/>
                      <wps:spPr>
                        <a:xfrm>
                          <a:off x="11049" y="17688"/>
                          <a:ext cx="11395" cy="16271"/>
                        </a:xfrm>
                        <a:prstGeom prst="rect">
                          <a:avLst/>
                        </a:prstGeom>
                        <a:solidFill>
                          <a:schemeClr val="bg1"/>
                        </a:solidFill>
                        <a:ln w="15875" cmpd="sng">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path path="circle">
                              <a:fillToRect l="50000" t="50000" r="50000" b="50000"/>
                            </a:path>
                            <a:tileRect/>
                          </a:gradFill>
                          <a:prstDash val="sys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5pt;margin-top:0pt;height:841.9pt;width:595.3pt;z-index:-251656192;mso-width-relative:page;mso-height-relative:page;" coordorigin="10793,17404" coordsize="11906,16838" o:gfxdata="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">
              <o:lock v:ext="edit" aspectratio="f"/>
              <v:rect id="_x0000_s1026" o:spid="_x0000_s1026" o:spt="1" style="position:absolute;left:10793;top:17404;height:16838;width:11906;v-text-anchor:middle;" fillcolor="#EEDF7F" filled="t" stroked="f" coordsize="21600,21600" o:gfxdata="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1IWV7gAAADaAAAA&#10;DwAAAAAAAAABACAAAAAiAAAAZHJzL2Rvd25yZXYueG1sUEsBAhQAFAAAAAgAh07iQDMvBZ47AAAA&#10;OQAAABAAAAAAAAAAAQAgAAAABwEAAGRycy9zaGFwZXhtbC54bWxQSwUGAAAAAAYABgBbAQAAsQMA&#10;AAAA&#10;">
                <v:fill on="t" opacity="39321f" focussize="0,0"/>
                <v:stroke on="f" weight="1pt" miterlimit="8" joinstyle="miter"/>
                <v:imagedata o:title=""/>
                <o:lock v:ext="edit" aspectratio="f"/>
              </v:rect>
              <v:rect id="_x0000_s1026" o:spid="_x0000_s1026" o:spt="1" style="position:absolute;left:11049;top:17688;height:16271;width:11395;v-text-anchor:middle;" fillcolor="#FFFFFF [3212]" filled="t" stroked="t" coordsize="21600,21600" o:gfxdata="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BTWHC5AAAA2wAA&#10;AA8AAAAAAAAAAQAgAAAAIgAAAGRycy9kb3ducmV2LnhtbFBLAQIUABQAAAAIAIdO4kAzLwWeOwAA&#10;ADkAAAAQAAAAAAAAAAEAIAAAAAgBAABkcnMvc2hhcGV4bWwueG1sUEsFBgAAAAAGAAYAWwEAALID&#10;AAAAAA==&#10;">
                <v:fill on="t" focussize="0,0"/>
                <v:stroke weight="1.25pt" color="#000000" miterlimit="8" joinstyle="miter" dashstyle="3 1"/>
                <v:imagedata o:title=""/>
                <o:lock v:ext="edit" aspectratio="f"/>
              </v:rect>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D11A5">
    <w:pPr>
      <w:pStyle w:val="8"/>
      <w:pBdr>
        <w:bottom w:val="none" w:color="auto" w:sz="0" w:space="1"/>
      </w:pBdr>
      <w:rPr>
        <w:rFonts w:hint="eastAsia" w:eastAsia="宋体"/>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QwMGUyNTQxOTQ3OTdiZjM1YmRlMzhhNWY0ODRlNWM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BF16DF"/>
    <w:rsid w:val="03F91E91"/>
    <w:rsid w:val="043851F9"/>
    <w:rsid w:val="09AA6B0A"/>
    <w:rsid w:val="0AAA37BC"/>
    <w:rsid w:val="0AC91BFE"/>
    <w:rsid w:val="0AE230E9"/>
    <w:rsid w:val="0D2F326C"/>
    <w:rsid w:val="0E041A0C"/>
    <w:rsid w:val="0EFB3964"/>
    <w:rsid w:val="10E62DCA"/>
    <w:rsid w:val="138E17D4"/>
    <w:rsid w:val="16527C12"/>
    <w:rsid w:val="18934C0E"/>
    <w:rsid w:val="1A0F6516"/>
    <w:rsid w:val="1A861C2D"/>
    <w:rsid w:val="1AF66FE0"/>
    <w:rsid w:val="1B273E7A"/>
    <w:rsid w:val="1C687F8F"/>
    <w:rsid w:val="1D245D5D"/>
    <w:rsid w:val="1E8F2A30"/>
    <w:rsid w:val="1FB84519"/>
    <w:rsid w:val="218A5BED"/>
    <w:rsid w:val="22A46395"/>
    <w:rsid w:val="23151418"/>
    <w:rsid w:val="24B477DD"/>
    <w:rsid w:val="28B578A7"/>
    <w:rsid w:val="31813D45"/>
    <w:rsid w:val="318E2C8A"/>
    <w:rsid w:val="322A12C5"/>
    <w:rsid w:val="333E3614"/>
    <w:rsid w:val="34AD60CD"/>
    <w:rsid w:val="35AF77A0"/>
    <w:rsid w:val="368D542E"/>
    <w:rsid w:val="388B134B"/>
    <w:rsid w:val="3EB371A6"/>
    <w:rsid w:val="3FB457A2"/>
    <w:rsid w:val="40EC510F"/>
    <w:rsid w:val="436C72A2"/>
    <w:rsid w:val="43CD7F64"/>
    <w:rsid w:val="44B33A23"/>
    <w:rsid w:val="45C91BBA"/>
    <w:rsid w:val="46E44703"/>
    <w:rsid w:val="4BD755A8"/>
    <w:rsid w:val="4BF7788F"/>
    <w:rsid w:val="4C7F0E23"/>
    <w:rsid w:val="52EA4E4F"/>
    <w:rsid w:val="5A7C6694"/>
    <w:rsid w:val="5C2D08FD"/>
    <w:rsid w:val="5D204456"/>
    <w:rsid w:val="5D5E4DB7"/>
    <w:rsid w:val="5E0A2849"/>
    <w:rsid w:val="69CD0D21"/>
    <w:rsid w:val="6CD31019"/>
    <w:rsid w:val="6E8C1058"/>
    <w:rsid w:val="6F846384"/>
    <w:rsid w:val="72111FA0"/>
    <w:rsid w:val="724D0D96"/>
    <w:rsid w:val="7C0B4C04"/>
    <w:rsid w:val="7CF17FFD"/>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qFormat/>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qFormat/>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qFormat/>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9955</Words>
  <Characters>10060</Characters>
  <Lines>1</Lines>
  <Paragraphs>1</Paragraphs>
  <TotalTime>1</TotalTime>
  <ScaleCrop>false</ScaleCrop>
  <LinksUpToDate>false</LinksUpToDate>
  <CharactersWithSpaces>10073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2025-07-17T06:23:28Z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1988E5C6EA0543809262BAC0704089AD_13</vt:lpwstr>
  </property>
  <property fmtid="{D5CDD505-2E9C-101B-9397-08002B2CF9AE}" pid="4" name="KSOTemplateDocerSaveRecord">
    <vt:lpwstr>eyJoZGlkIjoiOTcxZjc4Y2ViNTBlZDVmZTI3YTAxZGE1NWVmM2E2NDEiLCJ1c2VySWQiOiI0MDMzMDA2MzYifQ==</vt:lpwstr>
  </property>
</Properties>
</file>